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0CB7" w:rsidRDefault="00FB0CB7" w:rsidP="00B06B8E">
      <w:pPr>
        <w:pStyle w:val="Heading3"/>
        <w:spacing w:before="0" w:beforeAutospacing="0" w:after="0" w:afterAutospacing="0" w:line="312" w:lineRule="auto"/>
        <w:jc w:val="center"/>
        <w:rPr>
          <w:sz w:val="22"/>
          <w:szCs w:val="22"/>
        </w:rPr>
      </w:pPr>
      <w:r w:rsidRPr="00CB0B61">
        <w:rPr>
          <w:sz w:val="22"/>
          <w:szCs w:val="22"/>
        </w:rPr>
        <w:t>INTRODUCTION</w:t>
      </w:r>
    </w:p>
    <w:p w:rsidR="00D269DE" w:rsidRPr="00CB0B61" w:rsidRDefault="00D269DE" w:rsidP="00B06B8E">
      <w:pPr>
        <w:pStyle w:val="Heading3"/>
        <w:spacing w:before="0" w:beforeAutospacing="0" w:after="0" w:afterAutospacing="0" w:line="312" w:lineRule="auto"/>
        <w:jc w:val="center"/>
        <w:rPr>
          <w:sz w:val="22"/>
          <w:szCs w:val="22"/>
        </w:rPr>
      </w:pPr>
    </w:p>
    <w:p w:rsidR="00FB0CB7" w:rsidRPr="00CB0B61" w:rsidRDefault="00FB0CB7" w:rsidP="00B06B8E">
      <w:pPr>
        <w:pStyle w:val="NormalWeb"/>
        <w:spacing w:before="0" w:beforeAutospacing="0" w:after="0" w:afterAutospacing="0" w:line="312" w:lineRule="auto"/>
        <w:ind w:firstLine="454"/>
        <w:jc w:val="both"/>
        <w:rPr>
          <w:sz w:val="22"/>
          <w:szCs w:val="22"/>
        </w:rPr>
      </w:pPr>
      <w:r w:rsidRPr="00CB0B61">
        <w:rPr>
          <w:sz w:val="22"/>
          <w:szCs w:val="22"/>
        </w:rPr>
        <w:t>Inhalation injury, a form of damage caused by the inhalation of thermal or chemical agents, is a leading cause of mortality in burn patients, despite its relatively low incidence among all burn cases. The initial assessment of patients with inhalation injury is crucial for effective treatment; however, this process is challenging due to a complex clinical picture, delayed onset, and non-specific symptoms. There is a limited number of studies describing the detailed characteristics of inhalation injury patients in the early phase, highlighting the need for further in-depth research. Therefore, it is essential to identify key clinical features and important laboratory parameters, including gas poisoning status and potential biomarkers upon admission.</w:t>
      </w:r>
    </w:p>
    <w:p w:rsidR="00FB0CB7" w:rsidRPr="00CB0B61" w:rsidRDefault="00FB0CB7" w:rsidP="00B06B8E">
      <w:pPr>
        <w:pStyle w:val="NormalWeb"/>
        <w:spacing w:before="0" w:beforeAutospacing="0" w:after="0" w:afterAutospacing="0" w:line="312" w:lineRule="auto"/>
        <w:ind w:firstLine="454"/>
        <w:jc w:val="both"/>
        <w:rPr>
          <w:sz w:val="22"/>
          <w:szCs w:val="22"/>
        </w:rPr>
      </w:pPr>
      <w:r w:rsidRPr="00CB0B61">
        <w:rPr>
          <w:sz w:val="22"/>
          <w:szCs w:val="22"/>
        </w:rPr>
        <w:t>Regarding treatment, although there have been significant advances in emergency and burn care, the mortality rate for patients with inhalation injury remains very high compared to those with only cutaneous burns. The primary cause is the complex pathophysiology, which includes mucosal edema, mucus hypersecretion, and fibrin deposition, coupled with impaired ciliary function that prevents clearance, leading to the formation of bronchial plugs. This condition can cause atelectasis, reduced ventilation, and infections such as pneumonia or Acute Respiratory Distress Syndrome (ARDS).</w:t>
      </w:r>
    </w:p>
    <w:p w:rsidR="00FB0CB7" w:rsidRPr="006076D3" w:rsidRDefault="00FB0CB7" w:rsidP="006076D3">
      <w:pPr>
        <w:pStyle w:val="NormalWeb"/>
        <w:spacing w:before="0" w:beforeAutospacing="0" w:after="0" w:afterAutospacing="0" w:line="302" w:lineRule="auto"/>
        <w:ind w:firstLine="454"/>
        <w:jc w:val="both"/>
        <w:rPr>
          <w:spacing w:val="-2"/>
          <w:sz w:val="22"/>
          <w:szCs w:val="22"/>
        </w:rPr>
      </w:pPr>
      <w:r w:rsidRPr="006076D3">
        <w:rPr>
          <w:spacing w:val="-2"/>
          <w:sz w:val="22"/>
          <w:szCs w:val="22"/>
        </w:rPr>
        <w:t xml:space="preserve">Managing airway obstruction is a critical local treatment strategy to improve prognosis. Bronchoscopy serves as both a diagnostic tool and an effective interventional method, helping to remove secretions and bronchial plugs from the central airways. However, bronchoscopy alone, even when performed routinely, has limitations in accessing and clearing the small, distal bronchi where the pathological process </w:t>
      </w:r>
      <w:r w:rsidRPr="006076D3">
        <w:rPr>
          <w:spacing w:val="-2"/>
          <w:sz w:val="22"/>
          <w:szCs w:val="22"/>
        </w:rPr>
        <w:lastRenderedPageBreak/>
        <w:t>continues. The efficacy of routine bronchoscopy in improving long-term outcomes, such as mortality, has not been consistently demonstrated.</w:t>
      </w:r>
    </w:p>
    <w:p w:rsidR="00FB0CB7" w:rsidRPr="00CB0B61" w:rsidRDefault="00FB0CB7" w:rsidP="00665F36">
      <w:pPr>
        <w:pStyle w:val="NormalWeb"/>
        <w:spacing w:before="0" w:beforeAutospacing="0" w:after="0" w:afterAutospacing="0" w:line="288" w:lineRule="auto"/>
        <w:ind w:firstLine="461"/>
        <w:jc w:val="both"/>
        <w:rPr>
          <w:sz w:val="22"/>
          <w:szCs w:val="22"/>
        </w:rPr>
      </w:pPr>
      <w:r w:rsidRPr="00CB0B61">
        <w:rPr>
          <w:sz w:val="22"/>
          <w:szCs w:val="22"/>
        </w:rPr>
        <w:t xml:space="preserve">To address this limitation and target the underlying pathophysiology more effectively, nebulized therapy with Heparin (which inhibits fibrin formation) and N-Acetylcysteine (a mucolytic agent) has been investigated. Theoretically, a combined nebulized Heparin and N-Acetylcysteine (HNA) regimen could resolve micro-obstructions and local pathological disorders. However, clinical results have been inconsistent. </w:t>
      </w:r>
      <w:r w:rsidRPr="00CB0B61">
        <w:rPr>
          <w:rStyle w:val="citation-130"/>
          <w:sz w:val="22"/>
          <w:szCs w:val="22"/>
        </w:rPr>
        <w:t>Some studies report benefits in improving lung function, while other meta-analyses and retrospective studies have not shown a clear improvement in mortality rates and have even raised concerns about infection risks associated with the nebulization process</w:t>
      </w:r>
      <w:r w:rsidRPr="00CB0B61">
        <w:rPr>
          <w:sz w:val="22"/>
          <w:szCs w:val="22"/>
        </w:rPr>
        <w:t xml:space="preserve">. </w:t>
      </w:r>
      <w:r w:rsidRPr="00CB0B61">
        <w:rPr>
          <w:rStyle w:val="citation-129"/>
          <w:sz w:val="22"/>
          <w:szCs w:val="22"/>
        </w:rPr>
        <w:t>A potential reason for the limited efficacy of nebulized therapy is that large airway obstructions may prevent the medication from reaching the smaller bronchi and bronchioles</w:t>
      </w:r>
      <w:r w:rsidRPr="00CB0B61">
        <w:rPr>
          <w:sz w:val="22"/>
          <w:szCs w:val="22"/>
        </w:rPr>
        <w:t>.</w:t>
      </w:r>
    </w:p>
    <w:p w:rsidR="00FB0CB7" w:rsidRPr="00CB0B61" w:rsidRDefault="00FB0CB7" w:rsidP="00665F36">
      <w:pPr>
        <w:pStyle w:val="NormalWeb"/>
        <w:spacing w:before="0" w:beforeAutospacing="0" w:after="0" w:afterAutospacing="0" w:line="288" w:lineRule="auto"/>
        <w:ind w:firstLine="461"/>
        <w:jc w:val="both"/>
        <w:rPr>
          <w:sz w:val="22"/>
          <w:szCs w:val="22"/>
        </w:rPr>
      </w:pPr>
      <w:r w:rsidRPr="00CB0B61">
        <w:rPr>
          <w:sz w:val="22"/>
          <w:szCs w:val="22"/>
        </w:rPr>
        <w:t>Based on this analysis, a combined treatment strategy of routine bronchoscopy (to clear central airways) and HNA nebulization (to target peripheral airways) is hypothesized to produce a synergistic effect, more comprehensively addressing ventilation and infection issues. Despite its logical rationale, no systematic studies in Vietnam have evaluated the efficacy and safety of this combined approach.</w:t>
      </w:r>
    </w:p>
    <w:p w:rsidR="00FB0CB7" w:rsidRPr="00CB0B61" w:rsidRDefault="00FB0CB7" w:rsidP="00665F36">
      <w:pPr>
        <w:pStyle w:val="NormalWeb"/>
        <w:spacing w:before="0" w:beforeAutospacing="0" w:after="0" w:afterAutospacing="0" w:line="288" w:lineRule="auto"/>
        <w:ind w:firstLine="461"/>
        <w:jc w:val="both"/>
        <w:rPr>
          <w:sz w:val="22"/>
          <w:szCs w:val="22"/>
        </w:rPr>
      </w:pPr>
      <w:r w:rsidRPr="00CB0B61">
        <w:rPr>
          <w:sz w:val="22"/>
          <w:szCs w:val="22"/>
        </w:rPr>
        <w:t xml:space="preserve">For these reasons, we conducted the study: </w:t>
      </w:r>
    </w:p>
    <w:p w:rsidR="00FB0CB7" w:rsidRPr="006076D3" w:rsidRDefault="006076D3" w:rsidP="006076D3">
      <w:pPr>
        <w:pStyle w:val="NormalWeb"/>
        <w:spacing w:before="0" w:beforeAutospacing="0" w:after="0" w:afterAutospacing="0" w:line="302" w:lineRule="auto"/>
        <w:ind w:firstLine="454"/>
        <w:jc w:val="both"/>
        <w:rPr>
          <w:spacing w:val="-6"/>
          <w:sz w:val="22"/>
          <w:szCs w:val="22"/>
        </w:rPr>
      </w:pPr>
      <w:r w:rsidRPr="006076D3">
        <w:rPr>
          <w:rStyle w:val="citation-126"/>
          <w:b/>
          <w:bCs/>
          <w:spacing w:val="-6"/>
          <w:sz w:val="22"/>
          <w:szCs w:val="22"/>
        </w:rPr>
        <w:t>“</w:t>
      </w:r>
      <w:r w:rsidR="00FB0CB7" w:rsidRPr="006076D3">
        <w:rPr>
          <w:rStyle w:val="citation-126"/>
          <w:b/>
          <w:bCs/>
          <w:spacing w:val="-6"/>
          <w:sz w:val="22"/>
          <w:szCs w:val="22"/>
        </w:rPr>
        <w:t xml:space="preserve">The </w:t>
      </w:r>
      <w:r w:rsidR="00665F36">
        <w:rPr>
          <w:rStyle w:val="citation-126"/>
          <w:b/>
          <w:bCs/>
          <w:spacing w:val="-6"/>
          <w:sz w:val="22"/>
          <w:szCs w:val="22"/>
        </w:rPr>
        <w:t>e</w:t>
      </w:r>
      <w:r w:rsidR="00FB0CB7" w:rsidRPr="006076D3">
        <w:rPr>
          <w:rStyle w:val="citation-126"/>
          <w:b/>
          <w:bCs/>
          <w:spacing w:val="-6"/>
          <w:sz w:val="22"/>
          <w:szCs w:val="22"/>
        </w:rPr>
        <w:t xml:space="preserve">fficacy of </w:t>
      </w:r>
      <w:r w:rsidR="00665F36">
        <w:rPr>
          <w:rStyle w:val="citation-126"/>
          <w:b/>
          <w:bCs/>
          <w:spacing w:val="-6"/>
          <w:sz w:val="22"/>
          <w:szCs w:val="22"/>
        </w:rPr>
        <w:t>b</w:t>
      </w:r>
      <w:r w:rsidR="00FB0CB7" w:rsidRPr="006076D3">
        <w:rPr>
          <w:rStyle w:val="citation-126"/>
          <w:b/>
          <w:bCs/>
          <w:spacing w:val="-6"/>
          <w:sz w:val="22"/>
          <w:szCs w:val="22"/>
        </w:rPr>
        <w:t xml:space="preserve">ronchoscopy </w:t>
      </w:r>
      <w:r w:rsidR="00665F36">
        <w:rPr>
          <w:rStyle w:val="citation-126"/>
          <w:b/>
          <w:bCs/>
          <w:spacing w:val="-6"/>
          <w:sz w:val="22"/>
          <w:szCs w:val="22"/>
        </w:rPr>
        <w:t>c</w:t>
      </w:r>
      <w:r w:rsidR="00FB0CB7" w:rsidRPr="006076D3">
        <w:rPr>
          <w:rStyle w:val="citation-126"/>
          <w:b/>
          <w:bCs/>
          <w:spacing w:val="-6"/>
          <w:sz w:val="22"/>
          <w:szCs w:val="22"/>
        </w:rPr>
        <w:t xml:space="preserve">ombined with </w:t>
      </w:r>
      <w:r w:rsidR="00665F36">
        <w:rPr>
          <w:rStyle w:val="citation-126"/>
          <w:b/>
          <w:bCs/>
          <w:spacing w:val="-6"/>
          <w:sz w:val="22"/>
          <w:szCs w:val="22"/>
        </w:rPr>
        <w:t>n</w:t>
      </w:r>
      <w:r w:rsidR="00FB0CB7" w:rsidRPr="006076D3">
        <w:rPr>
          <w:rStyle w:val="citation-126"/>
          <w:b/>
          <w:bCs/>
          <w:spacing w:val="-6"/>
          <w:sz w:val="22"/>
          <w:szCs w:val="22"/>
        </w:rPr>
        <w:t xml:space="preserve">ebulized Heparin and N-Acetylcysteine in the </w:t>
      </w:r>
      <w:r w:rsidR="00665F36">
        <w:rPr>
          <w:rStyle w:val="citation-126"/>
          <w:b/>
          <w:bCs/>
          <w:spacing w:val="-6"/>
          <w:sz w:val="22"/>
          <w:szCs w:val="22"/>
        </w:rPr>
        <w:t>t</w:t>
      </w:r>
      <w:r w:rsidR="00FB0CB7" w:rsidRPr="006076D3">
        <w:rPr>
          <w:rStyle w:val="citation-126"/>
          <w:b/>
          <w:bCs/>
          <w:spacing w:val="-6"/>
          <w:sz w:val="22"/>
          <w:szCs w:val="22"/>
        </w:rPr>
        <w:t xml:space="preserve">reatment of </w:t>
      </w:r>
      <w:r w:rsidR="00665F36">
        <w:rPr>
          <w:rStyle w:val="citation-126"/>
          <w:b/>
          <w:bCs/>
          <w:spacing w:val="-6"/>
          <w:sz w:val="22"/>
          <w:szCs w:val="22"/>
        </w:rPr>
        <w:t>i</w:t>
      </w:r>
      <w:r w:rsidR="00FB0CB7" w:rsidRPr="006076D3">
        <w:rPr>
          <w:rStyle w:val="citation-126"/>
          <w:b/>
          <w:bCs/>
          <w:spacing w:val="-6"/>
          <w:sz w:val="22"/>
          <w:szCs w:val="22"/>
        </w:rPr>
        <w:t>nhalation Injury</w:t>
      </w:r>
      <w:r w:rsidRPr="006076D3">
        <w:rPr>
          <w:rStyle w:val="citation-126"/>
          <w:b/>
          <w:bCs/>
          <w:spacing w:val="-6"/>
          <w:sz w:val="22"/>
          <w:szCs w:val="22"/>
        </w:rPr>
        <w:t>”</w:t>
      </w:r>
      <w:r w:rsidR="00FB0CB7" w:rsidRPr="006076D3">
        <w:rPr>
          <w:spacing w:val="-6"/>
          <w:sz w:val="22"/>
          <w:szCs w:val="22"/>
        </w:rPr>
        <w:t>.</w:t>
      </w:r>
    </w:p>
    <w:p w:rsidR="00EB23B9" w:rsidRPr="00CB0B61" w:rsidRDefault="00EB23B9" w:rsidP="006076D3">
      <w:pPr>
        <w:pStyle w:val="Heading3"/>
        <w:spacing w:before="0" w:beforeAutospacing="0" w:after="0" w:afterAutospacing="0" w:line="302" w:lineRule="auto"/>
        <w:jc w:val="both"/>
        <w:rPr>
          <w:color w:val="1B1C1D"/>
          <w:sz w:val="22"/>
          <w:szCs w:val="22"/>
        </w:rPr>
      </w:pPr>
      <w:r w:rsidRPr="00CB0B61">
        <w:rPr>
          <w:color w:val="1B1C1D"/>
          <w:sz w:val="22"/>
          <w:szCs w:val="22"/>
          <w:bdr w:val="none" w:sz="0" w:space="0" w:color="auto" w:frame="1"/>
        </w:rPr>
        <w:t xml:space="preserve">1. </w:t>
      </w:r>
      <w:r w:rsidR="00FB0CB7" w:rsidRPr="00CB0B61">
        <w:rPr>
          <w:sz w:val="22"/>
          <w:szCs w:val="22"/>
        </w:rPr>
        <w:t>OBJECTIVES OF THE STUDY</w:t>
      </w:r>
    </w:p>
    <w:p w:rsidR="00FB0CB7" w:rsidRPr="00CB0B61" w:rsidRDefault="00FB0CB7" w:rsidP="006076D3">
      <w:pPr>
        <w:pStyle w:val="NormalWeb"/>
        <w:spacing w:before="0" w:beforeAutospacing="0" w:after="0" w:afterAutospacing="0" w:line="302" w:lineRule="auto"/>
        <w:ind w:firstLine="454"/>
        <w:jc w:val="both"/>
        <w:rPr>
          <w:i/>
          <w:sz w:val="22"/>
          <w:szCs w:val="22"/>
        </w:rPr>
      </w:pPr>
      <w:r w:rsidRPr="00CB0B61">
        <w:rPr>
          <w:i/>
          <w:color w:val="1B1C1D"/>
          <w:sz w:val="22"/>
          <w:szCs w:val="22"/>
        </w:rPr>
        <w:t>Object</w:t>
      </w:r>
      <w:r w:rsidR="00EB23B9" w:rsidRPr="00CB0B61">
        <w:rPr>
          <w:i/>
          <w:color w:val="1B1C1D"/>
          <w:sz w:val="22"/>
          <w:szCs w:val="22"/>
        </w:rPr>
        <w:t xml:space="preserve"> 1: </w:t>
      </w:r>
      <w:r w:rsidR="00665F36" w:rsidRPr="00665F36">
        <w:rPr>
          <w:i/>
          <w:sz w:val="22"/>
          <w:szCs w:val="22"/>
        </w:rPr>
        <w:t>To describe the clinical and paraclinical characteristics of patients with inhalation injuries at the time of hospital admission.</w:t>
      </w:r>
      <w:r w:rsidRPr="00665F36">
        <w:rPr>
          <w:i/>
          <w:sz w:val="22"/>
          <w:szCs w:val="22"/>
        </w:rPr>
        <w:t>.</w:t>
      </w:r>
    </w:p>
    <w:p w:rsidR="00EB23B9" w:rsidRPr="00CB0B61" w:rsidRDefault="00FB0CB7" w:rsidP="00B06B8E">
      <w:pPr>
        <w:pStyle w:val="NormalWeb"/>
        <w:spacing w:before="0" w:beforeAutospacing="0" w:after="0" w:afterAutospacing="0" w:line="312" w:lineRule="auto"/>
        <w:ind w:firstLine="454"/>
        <w:jc w:val="both"/>
        <w:rPr>
          <w:i/>
          <w:sz w:val="22"/>
          <w:szCs w:val="22"/>
        </w:rPr>
      </w:pPr>
      <w:r w:rsidRPr="00CB0B61">
        <w:rPr>
          <w:i/>
          <w:color w:val="1B1C1D"/>
          <w:sz w:val="22"/>
          <w:szCs w:val="22"/>
        </w:rPr>
        <w:t>Object 2:</w:t>
      </w:r>
      <w:r w:rsidRPr="00665F36">
        <w:rPr>
          <w:i/>
          <w:color w:val="1B1C1D"/>
          <w:sz w:val="22"/>
          <w:szCs w:val="22"/>
        </w:rPr>
        <w:t xml:space="preserve"> </w:t>
      </w:r>
      <w:r w:rsidR="00665F36" w:rsidRPr="00665F36">
        <w:rPr>
          <w:i/>
          <w:sz w:val="22"/>
          <w:szCs w:val="22"/>
        </w:rPr>
        <w:t>To evaluate the efficacy of bronchoscopy combined with nebulized Heparin and N-Acetylcysteine in the treatment of patients with inhalation injuries</w:t>
      </w:r>
      <w:r w:rsidRPr="00665F36">
        <w:rPr>
          <w:i/>
          <w:sz w:val="22"/>
          <w:szCs w:val="22"/>
        </w:rPr>
        <w:t>.</w:t>
      </w:r>
    </w:p>
    <w:p w:rsidR="00FB0CB7" w:rsidRPr="00CB0B61" w:rsidRDefault="00EB23B9" w:rsidP="00B06B8E">
      <w:pPr>
        <w:pStyle w:val="Heading3"/>
        <w:spacing w:before="0" w:beforeAutospacing="0" w:after="0" w:afterAutospacing="0" w:line="312" w:lineRule="auto"/>
        <w:jc w:val="both"/>
        <w:rPr>
          <w:sz w:val="22"/>
          <w:szCs w:val="22"/>
        </w:rPr>
      </w:pPr>
      <w:r w:rsidRPr="00CB0B61">
        <w:rPr>
          <w:color w:val="1B1C1D"/>
          <w:sz w:val="22"/>
          <w:szCs w:val="22"/>
          <w:bdr w:val="none" w:sz="0" w:space="0" w:color="auto" w:frame="1"/>
        </w:rPr>
        <w:lastRenderedPageBreak/>
        <w:t xml:space="preserve">2. </w:t>
      </w:r>
      <w:r w:rsidR="00FB0CB7" w:rsidRPr="00CB0B61">
        <w:rPr>
          <w:sz w:val="22"/>
          <w:szCs w:val="22"/>
        </w:rPr>
        <w:t>NOVEL CONTRIBUTIONS OF THE DISSERTATION</w:t>
      </w:r>
    </w:p>
    <w:p w:rsidR="00FB0CB7" w:rsidRPr="00CB0B61" w:rsidRDefault="00FB0CB7" w:rsidP="00665F36">
      <w:pPr>
        <w:pStyle w:val="NormalWeb"/>
        <w:spacing w:before="0" w:beforeAutospacing="0" w:after="0" w:afterAutospacing="0" w:line="288" w:lineRule="auto"/>
        <w:ind w:firstLine="461"/>
        <w:jc w:val="both"/>
        <w:rPr>
          <w:sz w:val="22"/>
          <w:szCs w:val="22"/>
        </w:rPr>
      </w:pPr>
      <w:r w:rsidRPr="00CB0B61">
        <w:rPr>
          <w:rStyle w:val="citation-123"/>
          <w:sz w:val="22"/>
          <w:szCs w:val="22"/>
        </w:rPr>
        <w:t>This dissertation is the first prospective, randomized, controlled study in Vietnam to systematically and comprehensively evaluate the efficacy and safety of a combined treatment protocol of routine bronchoscopy and nebulized Heparin/N-Acetylcysteine in patients with severe inhalation injury</w:t>
      </w:r>
      <w:r w:rsidRPr="00CB0B61">
        <w:rPr>
          <w:sz w:val="22"/>
          <w:szCs w:val="22"/>
        </w:rPr>
        <w:t>.</w:t>
      </w:r>
    </w:p>
    <w:p w:rsidR="00FB0CB7" w:rsidRDefault="00FB0CB7" w:rsidP="00665F36">
      <w:pPr>
        <w:pStyle w:val="NormalWeb"/>
        <w:spacing w:before="0" w:beforeAutospacing="0" w:after="0" w:afterAutospacing="0" w:line="288" w:lineRule="auto"/>
        <w:ind w:firstLine="461"/>
        <w:jc w:val="both"/>
        <w:rPr>
          <w:sz w:val="22"/>
          <w:szCs w:val="22"/>
        </w:rPr>
      </w:pPr>
      <w:r w:rsidRPr="00CB0B61">
        <w:rPr>
          <w:rStyle w:val="citation-122"/>
          <w:sz w:val="22"/>
          <w:szCs w:val="22"/>
        </w:rPr>
        <w:t>The research provides robust scientific evidence that the combined intervention significantly improves pulmonary mechanics (increased lung compliance, decreased airway pressure), enhances gas exchange, reduces the severity of acute lung injury, and, most notably, leads to a statistically significant reduction in early mortality at 14 and 28 days post-burn</w:t>
      </w:r>
      <w:r w:rsidRPr="00CB0B61">
        <w:rPr>
          <w:sz w:val="22"/>
          <w:szCs w:val="22"/>
        </w:rPr>
        <w:t>.</w:t>
      </w:r>
    </w:p>
    <w:p w:rsidR="00665F36" w:rsidRPr="00665F36" w:rsidRDefault="00665F36" w:rsidP="00665F36">
      <w:pPr>
        <w:pStyle w:val="NormalWeb"/>
        <w:spacing w:before="0" w:beforeAutospacing="0" w:after="0" w:afterAutospacing="0" w:line="288" w:lineRule="auto"/>
        <w:ind w:firstLine="461"/>
        <w:jc w:val="both"/>
        <w:rPr>
          <w:sz w:val="22"/>
          <w:szCs w:val="22"/>
        </w:rPr>
      </w:pPr>
      <w:r w:rsidRPr="00665F36">
        <w:rPr>
          <w:sz w:val="22"/>
          <w:szCs w:val="22"/>
        </w:rPr>
        <w:t>This is the first study to report and demonstrate that the concentration of the biomarker sST2 in bronchoalveolar lavage fluid positively correlates with the severity of inhalation injury, suggesting a novel approach for prognosticating local lung damage</w:t>
      </w:r>
    </w:p>
    <w:p w:rsidR="00EB23B9" w:rsidRPr="00CB0B61" w:rsidRDefault="00FB0CB7" w:rsidP="00665F36">
      <w:pPr>
        <w:pStyle w:val="NormalWeb"/>
        <w:spacing w:before="0" w:beforeAutospacing="0" w:after="0" w:afterAutospacing="0" w:line="288" w:lineRule="auto"/>
        <w:ind w:firstLine="461"/>
        <w:jc w:val="both"/>
        <w:rPr>
          <w:sz w:val="22"/>
          <w:szCs w:val="22"/>
        </w:rPr>
      </w:pPr>
      <w:r w:rsidRPr="00CB0B61">
        <w:rPr>
          <w:rStyle w:val="citation-121"/>
          <w:sz w:val="22"/>
          <w:szCs w:val="22"/>
        </w:rPr>
        <w:t>The study has established a safe, effective, and highly feasible treatment protocol</w:t>
      </w:r>
      <w:r w:rsidRPr="00CB0B61">
        <w:rPr>
          <w:sz w:val="22"/>
          <w:szCs w:val="22"/>
        </w:rPr>
        <w:t xml:space="preserve">. </w:t>
      </w:r>
      <w:r w:rsidRPr="00CB0B61">
        <w:rPr>
          <w:rStyle w:val="citation-120"/>
          <w:sz w:val="22"/>
          <w:szCs w:val="22"/>
        </w:rPr>
        <w:t>By employing modern techniques such as a closed suction system and an integrated nebulizer, the protocol mitigates the risk of infection reported in previous studies, thereby offering an optimal treatment solution that can be widely applied in intensive care units to improve outcomes for this critically ill patient population</w:t>
      </w:r>
      <w:r w:rsidRPr="00CB0B61">
        <w:rPr>
          <w:sz w:val="22"/>
          <w:szCs w:val="22"/>
        </w:rPr>
        <w:t>.</w:t>
      </w:r>
    </w:p>
    <w:p w:rsidR="00FB0CB7" w:rsidRPr="00CB0B61" w:rsidRDefault="00EB23B9" w:rsidP="00B06B8E">
      <w:pPr>
        <w:pStyle w:val="Heading3"/>
        <w:spacing w:before="0" w:beforeAutospacing="0" w:after="0" w:afterAutospacing="0" w:line="312" w:lineRule="auto"/>
        <w:jc w:val="both"/>
        <w:rPr>
          <w:sz w:val="22"/>
          <w:szCs w:val="22"/>
        </w:rPr>
      </w:pPr>
      <w:r w:rsidRPr="00CB0B61">
        <w:rPr>
          <w:color w:val="1B1C1D"/>
          <w:sz w:val="22"/>
          <w:szCs w:val="22"/>
          <w:bdr w:val="none" w:sz="0" w:space="0" w:color="auto" w:frame="1"/>
        </w:rPr>
        <w:t xml:space="preserve">3. </w:t>
      </w:r>
      <w:r w:rsidR="00FB0CB7" w:rsidRPr="00CB0B61">
        <w:rPr>
          <w:sz w:val="22"/>
          <w:szCs w:val="22"/>
        </w:rPr>
        <w:t>STRUCTURE OF THE DISSERTATION</w:t>
      </w:r>
    </w:p>
    <w:p w:rsidR="00EB23B9" w:rsidRPr="00CB0B61" w:rsidRDefault="00665F36" w:rsidP="00665F36">
      <w:pPr>
        <w:pStyle w:val="NormalWeb"/>
        <w:spacing w:before="0" w:beforeAutospacing="0" w:after="0" w:afterAutospacing="0" w:line="312" w:lineRule="auto"/>
        <w:ind w:firstLine="454"/>
        <w:jc w:val="both"/>
        <w:rPr>
          <w:color w:val="1B1C1D"/>
          <w:sz w:val="22"/>
          <w:szCs w:val="22"/>
        </w:rPr>
      </w:pPr>
      <w:r w:rsidRPr="00665F36">
        <w:rPr>
          <w:sz w:val="22"/>
          <w:szCs w:val="22"/>
        </w:rPr>
        <w:t xml:space="preserve">The dissertation is </w:t>
      </w:r>
      <w:r w:rsidRPr="00665F36">
        <w:rPr>
          <w:bCs/>
          <w:sz w:val="22"/>
          <w:szCs w:val="22"/>
        </w:rPr>
        <w:t>150 pages</w:t>
      </w:r>
      <w:r w:rsidRPr="00665F36">
        <w:rPr>
          <w:sz w:val="22"/>
          <w:szCs w:val="22"/>
        </w:rPr>
        <w:t xml:space="preserve"> in length (not including appendices) and is structured as follows: a 2-page Introduction, a 32-page Literature Review, a 24-page section on Subjects and Methods, 33 pages of Results, a 40-page Discussion, a 2-page Conclusion, and a 1-page section for Recommendations. It includes </w:t>
      </w:r>
      <w:r w:rsidRPr="00665F36">
        <w:rPr>
          <w:bCs/>
          <w:sz w:val="22"/>
          <w:szCs w:val="22"/>
        </w:rPr>
        <w:t>39 tables</w:t>
      </w:r>
      <w:r w:rsidRPr="00665F36">
        <w:rPr>
          <w:sz w:val="22"/>
          <w:szCs w:val="22"/>
        </w:rPr>
        <w:t xml:space="preserve">, </w:t>
      </w:r>
      <w:r w:rsidRPr="00665F36">
        <w:rPr>
          <w:bCs/>
          <w:sz w:val="22"/>
          <w:szCs w:val="22"/>
        </w:rPr>
        <w:t>15 charts</w:t>
      </w:r>
      <w:r w:rsidRPr="00665F36">
        <w:rPr>
          <w:sz w:val="22"/>
          <w:szCs w:val="22"/>
        </w:rPr>
        <w:t xml:space="preserve">, </w:t>
      </w:r>
      <w:r w:rsidRPr="00665F36">
        <w:rPr>
          <w:bCs/>
          <w:sz w:val="22"/>
          <w:szCs w:val="22"/>
        </w:rPr>
        <w:t>2 figures</w:t>
      </w:r>
      <w:r w:rsidRPr="00665F36">
        <w:rPr>
          <w:sz w:val="22"/>
          <w:szCs w:val="22"/>
        </w:rPr>
        <w:t xml:space="preserve">, and a bibliography of </w:t>
      </w:r>
      <w:r w:rsidRPr="00665F36">
        <w:rPr>
          <w:bCs/>
          <w:sz w:val="22"/>
          <w:szCs w:val="22"/>
        </w:rPr>
        <w:t>150 references</w:t>
      </w:r>
      <w:r w:rsidRPr="00665F36">
        <w:rPr>
          <w:sz w:val="22"/>
          <w:szCs w:val="22"/>
        </w:rPr>
        <w:t xml:space="preserve"> (10 Vietnamese and 140 English).</w:t>
      </w:r>
    </w:p>
    <w:p w:rsidR="006076D3" w:rsidRDefault="006076D3">
      <w:pPr>
        <w:rPr>
          <w:rFonts w:ascii="Times New Roman" w:eastAsia="Times New Roman" w:hAnsi="Times New Roman" w:cs="Times New Roman"/>
          <w:b/>
          <w:bCs/>
        </w:rPr>
      </w:pPr>
      <w:r>
        <w:br w:type="page"/>
      </w:r>
    </w:p>
    <w:p w:rsidR="00FB0CB7" w:rsidRDefault="00FB0CB7" w:rsidP="00B06B8E">
      <w:pPr>
        <w:pStyle w:val="Heading3"/>
        <w:spacing w:before="0" w:beforeAutospacing="0" w:after="0" w:afterAutospacing="0" w:line="312" w:lineRule="auto"/>
        <w:jc w:val="center"/>
        <w:rPr>
          <w:sz w:val="22"/>
          <w:szCs w:val="22"/>
        </w:rPr>
      </w:pPr>
      <w:r w:rsidRPr="00CB0B61">
        <w:rPr>
          <w:sz w:val="22"/>
          <w:szCs w:val="22"/>
        </w:rPr>
        <w:lastRenderedPageBreak/>
        <w:t>Chapter 1. LITERATURE REVIEW</w:t>
      </w:r>
    </w:p>
    <w:p w:rsidR="009349FC" w:rsidRPr="00CB0B61" w:rsidRDefault="009349FC" w:rsidP="00B06B8E">
      <w:pPr>
        <w:pStyle w:val="Heading3"/>
        <w:spacing w:before="0" w:beforeAutospacing="0" w:after="0" w:afterAutospacing="0" w:line="312" w:lineRule="auto"/>
        <w:jc w:val="center"/>
        <w:rPr>
          <w:sz w:val="22"/>
          <w:szCs w:val="22"/>
        </w:rPr>
      </w:pPr>
    </w:p>
    <w:p w:rsidR="00FB0CB7" w:rsidRPr="00CB0B61" w:rsidRDefault="00FB0CB7" w:rsidP="009349FC">
      <w:pPr>
        <w:pStyle w:val="NormalWeb"/>
        <w:numPr>
          <w:ilvl w:val="1"/>
          <w:numId w:val="6"/>
        </w:numPr>
        <w:tabs>
          <w:tab w:val="left" w:pos="392"/>
        </w:tabs>
        <w:spacing w:before="0" w:beforeAutospacing="0" w:after="0" w:afterAutospacing="0" w:line="312" w:lineRule="auto"/>
        <w:ind w:left="0" w:firstLine="0"/>
        <w:jc w:val="both"/>
        <w:rPr>
          <w:b/>
          <w:bCs/>
          <w:sz w:val="22"/>
          <w:szCs w:val="22"/>
        </w:rPr>
      </w:pPr>
      <w:r w:rsidRPr="00CB0B61">
        <w:rPr>
          <w:b/>
          <w:bCs/>
          <w:sz w:val="22"/>
          <w:szCs w:val="22"/>
        </w:rPr>
        <w:t xml:space="preserve">Epidemiology, </w:t>
      </w:r>
      <w:r w:rsidR="00665F36">
        <w:rPr>
          <w:b/>
          <w:bCs/>
          <w:sz w:val="22"/>
          <w:szCs w:val="22"/>
        </w:rPr>
        <w:t>pathophysiology</w:t>
      </w:r>
      <w:r w:rsidRPr="00CB0B61">
        <w:rPr>
          <w:b/>
          <w:bCs/>
          <w:sz w:val="22"/>
          <w:szCs w:val="22"/>
        </w:rPr>
        <w:t xml:space="preserve"> and </w:t>
      </w:r>
      <w:r w:rsidR="00665F36">
        <w:rPr>
          <w:b/>
          <w:bCs/>
          <w:sz w:val="22"/>
          <w:szCs w:val="22"/>
        </w:rPr>
        <w:t>c</w:t>
      </w:r>
      <w:r w:rsidRPr="00CB0B61">
        <w:rPr>
          <w:b/>
          <w:bCs/>
          <w:sz w:val="22"/>
          <w:szCs w:val="22"/>
        </w:rPr>
        <w:t xml:space="preserve">omplications of </w:t>
      </w:r>
      <w:r w:rsidR="00665F36">
        <w:rPr>
          <w:b/>
          <w:bCs/>
          <w:sz w:val="22"/>
          <w:szCs w:val="22"/>
        </w:rPr>
        <w:t>i</w:t>
      </w:r>
      <w:r w:rsidRPr="00CB0B61">
        <w:rPr>
          <w:b/>
          <w:bCs/>
          <w:sz w:val="22"/>
          <w:szCs w:val="22"/>
        </w:rPr>
        <w:t>nhalation Injury</w:t>
      </w:r>
    </w:p>
    <w:p w:rsidR="00FB0CB7" w:rsidRPr="00CB0B61" w:rsidRDefault="00FB0CB7" w:rsidP="00B06B8E">
      <w:pPr>
        <w:pStyle w:val="NormalWeb"/>
        <w:spacing w:before="0" w:beforeAutospacing="0" w:after="0" w:afterAutospacing="0" w:line="312" w:lineRule="auto"/>
        <w:ind w:firstLine="454"/>
        <w:jc w:val="both"/>
        <w:rPr>
          <w:sz w:val="22"/>
          <w:szCs w:val="22"/>
        </w:rPr>
      </w:pPr>
      <w:r w:rsidRPr="00CB0B61">
        <w:rPr>
          <w:sz w:val="22"/>
          <w:szCs w:val="22"/>
        </w:rPr>
        <w:t xml:space="preserve">Inhalation injury is a severe condition and an independent predictor that increases the mortality rate several-fold compared to cutaneous burns alone. </w:t>
      </w:r>
      <w:r w:rsidRPr="00CB0B61">
        <w:rPr>
          <w:rStyle w:val="citation-116"/>
          <w:sz w:val="22"/>
          <w:szCs w:val="22"/>
        </w:rPr>
        <w:t>The incidence of inhalation injury among hospitalized burn patients ranges from 10-30%, but it accounts for 75-90% of fatalities</w:t>
      </w:r>
      <w:r w:rsidRPr="00CB0B61">
        <w:rPr>
          <w:sz w:val="22"/>
          <w:szCs w:val="22"/>
        </w:rPr>
        <w:t xml:space="preserve">. </w:t>
      </w:r>
      <w:r w:rsidRPr="00CB0B61">
        <w:rPr>
          <w:rStyle w:val="citation-115"/>
          <w:sz w:val="22"/>
          <w:szCs w:val="22"/>
        </w:rPr>
        <w:t>In Vietnam, the rate of inhalation injury in mass burn incidents can be as high as 16%, with a mortality rate of 89.2%</w:t>
      </w:r>
      <w:r w:rsidRPr="00CB0B61">
        <w:rPr>
          <w:sz w:val="22"/>
          <w:szCs w:val="22"/>
        </w:rPr>
        <w:t>.</w:t>
      </w:r>
    </w:p>
    <w:p w:rsidR="00FB0CB7" w:rsidRPr="00CB0B61" w:rsidRDefault="00FB0CB7" w:rsidP="00B06B8E">
      <w:pPr>
        <w:spacing w:after="0" w:line="312" w:lineRule="auto"/>
        <w:ind w:firstLine="454"/>
        <w:jc w:val="both"/>
        <w:rPr>
          <w:rFonts w:ascii="Times New Roman" w:hAnsi="Times New Roman" w:cs="Times New Roman"/>
        </w:rPr>
      </w:pPr>
      <w:r w:rsidRPr="00CB0B61">
        <w:rPr>
          <w:rStyle w:val="citation-114"/>
          <w:rFonts w:ascii="Times New Roman" w:hAnsi="Times New Roman" w:cs="Times New Roman"/>
        </w:rPr>
        <w:t>The pathophysiology of inhalation injury is complex, involving three main mechanisms</w:t>
      </w:r>
      <w:r w:rsidRPr="00CB0B61">
        <w:rPr>
          <w:rFonts w:ascii="Times New Roman" w:hAnsi="Times New Roman" w:cs="Times New Roman"/>
        </w:rPr>
        <w:t>:</w:t>
      </w:r>
    </w:p>
    <w:p w:rsidR="00FB0CB7" w:rsidRPr="00CB0B61" w:rsidRDefault="00FB0CB7" w:rsidP="00B06B8E">
      <w:pPr>
        <w:pStyle w:val="NormalWeb"/>
        <w:spacing w:before="0" w:beforeAutospacing="0" w:after="0" w:afterAutospacing="0" w:line="312" w:lineRule="auto"/>
        <w:ind w:firstLine="454"/>
        <w:jc w:val="both"/>
        <w:rPr>
          <w:sz w:val="22"/>
          <w:szCs w:val="22"/>
        </w:rPr>
      </w:pPr>
      <w:r w:rsidRPr="00CB0B61">
        <w:rPr>
          <w:rStyle w:val="citation-113"/>
          <w:b/>
          <w:bCs/>
          <w:sz w:val="22"/>
          <w:szCs w:val="22"/>
        </w:rPr>
        <w:t xml:space="preserve">- </w:t>
      </w:r>
      <w:r w:rsidRPr="00CB0B61">
        <w:rPr>
          <w:rStyle w:val="citation-113"/>
          <w:bCs/>
          <w:sz w:val="22"/>
          <w:szCs w:val="22"/>
        </w:rPr>
        <w:t>Direct thermal injury:</w:t>
      </w:r>
      <w:r w:rsidRPr="00CB0B61">
        <w:rPr>
          <w:rStyle w:val="citation-113"/>
          <w:sz w:val="22"/>
          <w:szCs w:val="22"/>
        </w:rPr>
        <w:t xml:space="preserve"> Primarily affects the upper airways, causing acute edema that can lead to airway obstruction</w:t>
      </w:r>
      <w:r w:rsidRPr="00CB0B61">
        <w:rPr>
          <w:sz w:val="22"/>
          <w:szCs w:val="22"/>
        </w:rPr>
        <w:t>.</w:t>
      </w:r>
    </w:p>
    <w:p w:rsidR="00FB0CB7" w:rsidRPr="00CB0B61" w:rsidRDefault="00FB0CB7" w:rsidP="00B06B8E">
      <w:pPr>
        <w:pStyle w:val="NormalWeb"/>
        <w:spacing w:before="0" w:beforeAutospacing="0" w:after="0" w:afterAutospacing="0" w:line="312" w:lineRule="auto"/>
        <w:ind w:firstLine="454"/>
        <w:jc w:val="both"/>
        <w:rPr>
          <w:sz w:val="22"/>
          <w:szCs w:val="22"/>
        </w:rPr>
      </w:pPr>
      <w:r w:rsidRPr="00CB0B61">
        <w:rPr>
          <w:bCs/>
          <w:sz w:val="22"/>
          <w:szCs w:val="22"/>
        </w:rPr>
        <w:t>- Chemical injury:</w:t>
      </w:r>
      <w:r w:rsidRPr="00CB0B61">
        <w:rPr>
          <w:sz w:val="22"/>
          <w:szCs w:val="22"/>
        </w:rPr>
        <w:t xml:space="preserve"> Caused by products of incomplete combustion (e.g., aldehydes, sulfur dioxide, CO, HCN), leading to inflammation, mucosal necrosis, ciliary dysfunction, and bronchospasm. </w:t>
      </w:r>
      <w:r w:rsidRPr="00CB0B61">
        <w:rPr>
          <w:rStyle w:val="citation-112"/>
          <w:sz w:val="22"/>
          <w:szCs w:val="22"/>
        </w:rPr>
        <w:t>This results in the formation of fibrinous casts and mucus plugs, obstructing small and medium airways</w:t>
      </w:r>
      <w:r w:rsidRPr="00CB0B61">
        <w:rPr>
          <w:sz w:val="22"/>
          <w:szCs w:val="22"/>
        </w:rPr>
        <w:t>.</w:t>
      </w:r>
    </w:p>
    <w:p w:rsidR="00FB0CB7" w:rsidRPr="00CB0B61" w:rsidRDefault="00FB0CB7" w:rsidP="00B06B8E">
      <w:pPr>
        <w:pStyle w:val="NormalWeb"/>
        <w:spacing w:before="0" w:beforeAutospacing="0" w:after="0" w:afterAutospacing="0" w:line="312" w:lineRule="auto"/>
        <w:ind w:firstLine="454"/>
        <w:jc w:val="both"/>
        <w:rPr>
          <w:sz w:val="22"/>
          <w:szCs w:val="22"/>
        </w:rPr>
      </w:pPr>
      <w:r w:rsidRPr="00CB0B61">
        <w:rPr>
          <w:rStyle w:val="citation-111"/>
          <w:rFonts w:eastAsiaTheme="majorEastAsia"/>
          <w:bCs/>
          <w:sz w:val="22"/>
          <w:szCs w:val="22"/>
        </w:rPr>
        <w:t>- Systemic toxicity:</w:t>
      </w:r>
      <w:r w:rsidRPr="00CB0B61">
        <w:rPr>
          <w:rStyle w:val="citation-111"/>
          <w:rFonts w:eastAsiaTheme="majorEastAsia"/>
          <w:sz w:val="22"/>
          <w:szCs w:val="22"/>
        </w:rPr>
        <w:t xml:space="preserve"> Due to the absorption of toxic gases like Carbon Monoxide (CO) and Hydrogen Cyanide (HCN) into the bloodstream, causing cellular hypoxia</w:t>
      </w:r>
      <w:r w:rsidRPr="00CB0B61">
        <w:rPr>
          <w:sz w:val="22"/>
          <w:szCs w:val="22"/>
        </w:rPr>
        <w:t>.</w:t>
      </w:r>
    </w:p>
    <w:p w:rsidR="00FB0CB7" w:rsidRPr="00CB0B61" w:rsidRDefault="00FB0CB7" w:rsidP="00B06B8E">
      <w:pPr>
        <w:pStyle w:val="NormalWeb"/>
        <w:spacing w:before="0" w:beforeAutospacing="0" w:after="0" w:afterAutospacing="0" w:line="312" w:lineRule="auto"/>
        <w:ind w:firstLine="454"/>
        <w:jc w:val="both"/>
        <w:rPr>
          <w:sz w:val="22"/>
          <w:szCs w:val="22"/>
        </w:rPr>
      </w:pPr>
      <w:r w:rsidRPr="00CB0B61">
        <w:rPr>
          <w:rStyle w:val="citation-110"/>
          <w:sz w:val="22"/>
          <w:szCs w:val="22"/>
        </w:rPr>
        <w:t>The main complications of inhalation injury include pneumonia, Acute Respiratory Distress Syndrome (ARDS), and sepsis, all of which are direct causes of multiple organ failure and death</w:t>
      </w:r>
      <w:r w:rsidRPr="00CB0B61">
        <w:rPr>
          <w:sz w:val="22"/>
          <w:szCs w:val="22"/>
        </w:rPr>
        <w:t>.</w:t>
      </w:r>
    </w:p>
    <w:p w:rsidR="00FB0CB7" w:rsidRPr="00CB0B61" w:rsidRDefault="00FB0CB7" w:rsidP="009349FC">
      <w:pPr>
        <w:pStyle w:val="NormalWeb"/>
        <w:numPr>
          <w:ilvl w:val="1"/>
          <w:numId w:val="6"/>
        </w:numPr>
        <w:spacing w:before="0" w:beforeAutospacing="0" w:after="0" w:afterAutospacing="0" w:line="312" w:lineRule="auto"/>
        <w:ind w:left="406" w:hanging="406"/>
        <w:jc w:val="both"/>
        <w:rPr>
          <w:b/>
          <w:bCs/>
          <w:sz w:val="22"/>
          <w:szCs w:val="22"/>
        </w:rPr>
      </w:pPr>
      <w:r w:rsidRPr="00CB0B61">
        <w:rPr>
          <w:b/>
          <w:bCs/>
          <w:sz w:val="22"/>
          <w:szCs w:val="22"/>
        </w:rPr>
        <w:t xml:space="preserve">Diagnosis and </w:t>
      </w:r>
      <w:r w:rsidR="00665F36">
        <w:rPr>
          <w:b/>
          <w:bCs/>
          <w:sz w:val="22"/>
          <w:szCs w:val="22"/>
        </w:rPr>
        <w:t>p</w:t>
      </w:r>
      <w:r w:rsidRPr="00CB0B61">
        <w:rPr>
          <w:b/>
          <w:bCs/>
          <w:sz w:val="22"/>
          <w:szCs w:val="22"/>
        </w:rPr>
        <w:t xml:space="preserve">rognosis of </w:t>
      </w:r>
      <w:r w:rsidR="00665F36">
        <w:rPr>
          <w:b/>
          <w:bCs/>
          <w:sz w:val="22"/>
          <w:szCs w:val="22"/>
        </w:rPr>
        <w:t>i</w:t>
      </w:r>
      <w:r w:rsidRPr="00CB0B61">
        <w:rPr>
          <w:b/>
          <w:bCs/>
          <w:sz w:val="22"/>
          <w:szCs w:val="22"/>
        </w:rPr>
        <w:t>nhalation Injury</w:t>
      </w:r>
    </w:p>
    <w:p w:rsidR="00FB0CB7" w:rsidRPr="00CB0B61" w:rsidRDefault="00FB0CB7" w:rsidP="00B06B8E">
      <w:pPr>
        <w:pStyle w:val="NormalWeb"/>
        <w:spacing w:before="0" w:beforeAutospacing="0" w:after="0" w:afterAutospacing="0" w:line="312" w:lineRule="auto"/>
        <w:ind w:firstLine="454"/>
        <w:jc w:val="both"/>
        <w:rPr>
          <w:sz w:val="22"/>
          <w:szCs w:val="22"/>
        </w:rPr>
      </w:pPr>
      <w:r w:rsidRPr="00CB0B61">
        <w:rPr>
          <w:sz w:val="22"/>
          <w:szCs w:val="22"/>
        </w:rPr>
        <w:t xml:space="preserve">The diagnosis of inhalation injury is based on a combination of patient history (e.g., burns in an enclosed space), clinical signs (e.g., facial burns, singed nasal hairs, hoarseness, carbonaceous sputum), </w:t>
      </w:r>
      <w:r w:rsidRPr="00CB0B61">
        <w:rPr>
          <w:sz w:val="22"/>
          <w:szCs w:val="22"/>
        </w:rPr>
        <w:lastRenderedPageBreak/>
        <w:t xml:space="preserve">and laboratory findings. </w:t>
      </w:r>
      <w:r w:rsidRPr="00CB0B61">
        <w:rPr>
          <w:rStyle w:val="citation-108"/>
          <w:sz w:val="22"/>
          <w:szCs w:val="22"/>
        </w:rPr>
        <w:t>Flexible fiberoptic bronchoscopy is considered the "gold standard," allowing direct visualization of the airway mucosa to confirm the diagnosis and grade the severity of injury using the Abbreviated Injury Scale (AIS) by Endorf F.W. Other methods like chest X-rays are often of little value in the early stages, while measuring Carboxyhemoglobin (SpCO) levels is crucial for diagnosing concurrent CO poisoning</w:t>
      </w:r>
      <w:r w:rsidRPr="00CB0B61">
        <w:rPr>
          <w:sz w:val="22"/>
          <w:szCs w:val="22"/>
        </w:rPr>
        <w:t>.</w:t>
      </w:r>
    </w:p>
    <w:p w:rsidR="00FB0CB7" w:rsidRPr="00CB0B61" w:rsidRDefault="00FB0CB7" w:rsidP="00B06B8E">
      <w:pPr>
        <w:pStyle w:val="NormalWeb"/>
        <w:spacing w:before="0" w:beforeAutospacing="0" w:after="0" w:afterAutospacing="0" w:line="312" w:lineRule="auto"/>
        <w:ind w:firstLine="454"/>
        <w:jc w:val="both"/>
        <w:rPr>
          <w:sz w:val="22"/>
          <w:szCs w:val="22"/>
        </w:rPr>
      </w:pPr>
      <w:r w:rsidRPr="00CB0B61">
        <w:rPr>
          <w:rStyle w:val="citation-107"/>
          <w:sz w:val="22"/>
          <w:szCs w:val="22"/>
        </w:rPr>
        <w:t>Early prediction of mortality risk is critically important</w:t>
      </w:r>
      <w:r w:rsidRPr="00CB0B61">
        <w:rPr>
          <w:rStyle w:val="animating"/>
          <w:sz w:val="22"/>
          <w:szCs w:val="22"/>
        </w:rPr>
        <w:t>.</w:t>
      </w:r>
      <w:r w:rsidRPr="00CB0B61">
        <w:rPr>
          <w:sz w:val="22"/>
          <w:szCs w:val="22"/>
        </w:rPr>
        <w:t xml:space="preserve"> While many scoring systems have been developed, burn-specific scores like the revised Baux (rBaux) score and the Abbreviated Burn Severity Index (ABSI) have shown better prognostic value than general ICU scores like APACHE II.</w:t>
      </w:r>
    </w:p>
    <w:p w:rsidR="00FB0CB7" w:rsidRPr="00CB0B61" w:rsidRDefault="00FB0CB7" w:rsidP="009349FC">
      <w:pPr>
        <w:pStyle w:val="NormalWeb"/>
        <w:numPr>
          <w:ilvl w:val="1"/>
          <w:numId w:val="6"/>
        </w:numPr>
        <w:spacing w:before="0" w:beforeAutospacing="0" w:after="0" w:afterAutospacing="0" w:line="312" w:lineRule="auto"/>
        <w:ind w:left="406" w:hanging="406"/>
        <w:jc w:val="both"/>
        <w:rPr>
          <w:b/>
          <w:bCs/>
          <w:sz w:val="22"/>
          <w:szCs w:val="22"/>
        </w:rPr>
      </w:pPr>
      <w:r w:rsidRPr="00CB0B61">
        <w:rPr>
          <w:b/>
          <w:bCs/>
          <w:sz w:val="22"/>
          <w:szCs w:val="22"/>
        </w:rPr>
        <w:t xml:space="preserve">Treatment </w:t>
      </w:r>
      <w:r w:rsidR="00665F36">
        <w:rPr>
          <w:b/>
          <w:bCs/>
          <w:sz w:val="22"/>
          <w:szCs w:val="22"/>
        </w:rPr>
        <w:t>m</w:t>
      </w:r>
      <w:r w:rsidRPr="00CB0B61">
        <w:rPr>
          <w:b/>
          <w:bCs/>
          <w:sz w:val="22"/>
          <w:szCs w:val="22"/>
        </w:rPr>
        <w:t xml:space="preserve">ethods for </w:t>
      </w:r>
      <w:r w:rsidR="00665F36">
        <w:rPr>
          <w:b/>
          <w:bCs/>
          <w:sz w:val="22"/>
          <w:szCs w:val="22"/>
        </w:rPr>
        <w:t>i</w:t>
      </w:r>
      <w:r w:rsidRPr="00CB0B61">
        <w:rPr>
          <w:b/>
          <w:bCs/>
          <w:sz w:val="22"/>
          <w:szCs w:val="22"/>
        </w:rPr>
        <w:t xml:space="preserve">nhalation </w:t>
      </w:r>
      <w:r w:rsidR="00665F36">
        <w:rPr>
          <w:b/>
          <w:bCs/>
          <w:sz w:val="22"/>
          <w:szCs w:val="22"/>
        </w:rPr>
        <w:t>i</w:t>
      </w:r>
      <w:r w:rsidRPr="00CB0B61">
        <w:rPr>
          <w:b/>
          <w:bCs/>
          <w:sz w:val="22"/>
          <w:szCs w:val="22"/>
        </w:rPr>
        <w:t>njury</w:t>
      </w:r>
    </w:p>
    <w:p w:rsidR="00FB0CB7" w:rsidRPr="00CB0B61" w:rsidRDefault="00FB0CB7" w:rsidP="00B06B8E">
      <w:pPr>
        <w:pStyle w:val="NormalWeb"/>
        <w:spacing w:before="0" w:beforeAutospacing="0" w:after="0" w:afterAutospacing="0" w:line="312" w:lineRule="auto"/>
        <w:ind w:firstLine="454"/>
        <w:jc w:val="both"/>
        <w:rPr>
          <w:sz w:val="22"/>
          <w:szCs w:val="22"/>
        </w:rPr>
      </w:pPr>
      <w:r w:rsidRPr="00CB0B61">
        <w:rPr>
          <w:sz w:val="22"/>
          <w:szCs w:val="22"/>
        </w:rPr>
        <w:t>Treatment is a combined approach involving systemic and local measures. Foundational therapies include securing the airway (often with early intubation), protective lung ventilation (using low tidal volumes and controlled airway pressure), adequate fluid resuscitation, treatment of CO poisoning with oxygen therapy, and other supportive measures like nutrition, antibiotics, and respiratory physiotherapy.</w:t>
      </w:r>
    </w:p>
    <w:p w:rsidR="00FB0CB7" w:rsidRPr="00CB0B61" w:rsidRDefault="00FB0CB7" w:rsidP="00B06B8E">
      <w:pPr>
        <w:pStyle w:val="NormalWeb"/>
        <w:spacing w:before="0" w:beforeAutospacing="0" w:after="0" w:afterAutospacing="0" w:line="312" w:lineRule="auto"/>
        <w:ind w:firstLine="454"/>
        <w:jc w:val="both"/>
        <w:rPr>
          <w:sz w:val="22"/>
          <w:szCs w:val="22"/>
        </w:rPr>
      </w:pPr>
      <w:r w:rsidRPr="00CB0B61">
        <w:rPr>
          <w:rStyle w:val="citation-103"/>
          <w:sz w:val="22"/>
          <w:szCs w:val="22"/>
        </w:rPr>
        <w:t>Local treatment aimed at resolving airway obstruction is central</w:t>
      </w:r>
      <w:r w:rsidRPr="00CB0B61">
        <w:rPr>
          <w:sz w:val="22"/>
          <w:szCs w:val="22"/>
        </w:rPr>
        <w:t xml:space="preserve">. </w:t>
      </w:r>
      <w:r w:rsidRPr="00CB0B61">
        <w:rPr>
          <w:rStyle w:val="citation-102"/>
          <w:sz w:val="22"/>
          <w:szCs w:val="22"/>
        </w:rPr>
        <w:t>Therapeutic bronchoscopy helps remove mucus plugs and secretions from the central airways</w:t>
      </w:r>
      <w:r w:rsidRPr="00CB0B61">
        <w:rPr>
          <w:sz w:val="22"/>
          <w:szCs w:val="22"/>
        </w:rPr>
        <w:t xml:space="preserve">. </w:t>
      </w:r>
      <w:r w:rsidRPr="00CB0B61">
        <w:rPr>
          <w:rStyle w:val="citation-101"/>
          <w:rFonts w:eastAsiaTheme="minorEastAsia"/>
          <w:sz w:val="22"/>
          <w:szCs w:val="22"/>
        </w:rPr>
        <w:t>Nebulized therapy with Heparin and N-Acetylcysteine (HNA) is proposed to address micro-casts in the peripheral airways</w:t>
      </w:r>
      <w:r w:rsidRPr="00CB0B61">
        <w:rPr>
          <w:sz w:val="22"/>
          <w:szCs w:val="22"/>
        </w:rPr>
        <w:t xml:space="preserve">. </w:t>
      </w:r>
      <w:r w:rsidRPr="00CB0B61">
        <w:rPr>
          <w:rStyle w:val="citation-100"/>
          <w:sz w:val="22"/>
          <w:szCs w:val="22"/>
        </w:rPr>
        <w:t>However, both methods have limitations when used in isolation</w:t>
      </w:r>
      <w:r w:rsidRPr="00CB0B61">
        <w:rPr>
          <w:sz w:val="22"/>
          <w:szCs w:val="22"/>
        </w:rPr>
        <w:t xml:space="preserve">. </w:t>
      </w:r>
      <w:r w:rsidRPr="00CB0B61">
        <w:rPr>
          <w:rStyle w:val="citation-99"/>
          <w:sz w:val="22"/>
          <w:szCs w:val="22"/>
        </w:rPr>
        <w:t>A combination of these two approaches is hypothesized to offer a synergistic effect, but this requires confirmation from controlled clinical trials</w:t>
      </w:r>
      <w:r w:rsidRPr="00CB0B61">
        <w:rPr>
          <w:sz w:val="22"/>
          <w:szCs w:val="22"/>
        </w:rPr>
        <w:t>.</w:t>
      </w:r>
    </w:p>
    <w:p w:rsidR="00EB23B9" w:rsidRPr="00CB0B61" w:rsidRDefault="00EB23B9" w:rsidP="00B06B8E">
      <w:pPr>
        <w:pStyle w:val="NormalWeb"/>
        <w:spacing w:before="0" w:beforeAutospacing="0" w:after="0" w:afterAutospacing="0" w:line="312" w:lineRule="auto"/>
        <w:ind w:firstLine="720"/>
        <w:jc w:val="both"/>
        <w:rPr>
          <w:color w:val="1B1C1D"/>
          <w:sz w:val="22"/>
          <w:szCs w:val="22"/>
        </w:rPr>
      </w:pPr>
    </w:p>
    <w:p w:rsidR="00A7384B" w:rsidRPr="00CB0B61" w:rsidRDefault="00A7384B" w:rsidP="00B06B8E">
      <w:pPr>
        <w:pStyle w:val="Heading3"/>
        <w:spacing w:before="0" w:beforeAutospacing="0" w:after="0" w:afterAutospacing="0" w:line="312" w:lineRule="auto"/>
        <w:jc w:val="center"/>
        <w:rPr>
          <w:color w:val="1B1C1D"/>
          <w:sz w:val="22"/>
          <w:szCs w:val="22"/>
          <w:bdr w:val="none" w:sz="0" w:space="0" w:color="auto" w:frame="1"/>
        </w:rPr>
      </w:pPr>
    </w:p>
    <w:p w:rsidR="00FB0CB7" w:rsidRDefault="00FB0CB7" w:rsidP="00B06B8E">
      <w:pPr>
        <w:pStyle w:val="Heading3"/>
        <w:spacing w:before="0" w:beforeAutospacing="0" w:after="0" w:afterAutospacing="0" w:line="312" w:lineRule="auto"/>
        <w:jc w:val="center"/>
        <w:rPr>
          <w:sz w:val="22"/>
          <w:szCs w:val="22"/>
        </w:rPr>
      </w:pPr>
      <w:r w:rsidRPr="00CB0B61">
        <w:rPr>
          <w:sz w:val="22"/>
          <w:szCs w:val="22"/>
        </w:rPr>
        <w:lastRenderedPageBreak/>
        <w:t>Chapter 2. SUBJECTS AND METHODS</w:t>
      </w:r>
    </w:p>
    <w:p w:rsidR="009349FC" w:rsidRPr="00CB0B61" w:rsidRDefault="009349FC" w:rsidP="00B06B8E">
      <w:pPr>
        <w:pStyle w:val="Heading3"/>
        <w:spacing w:before="0" w:beforeAutospacing="0" w:after="0" w:afterAutospacing="0" w:line="312" w:lineRule="auto"/>
        <w:jc w:val="center"/>
        <w:rPr>
          <w:sz w:val="22"/>
          <w:szCs w:val="22"/>
        </w:rPr>
      </w:pPr>
    </w:p>
    <w:p w:rsidR="00FB0CB7" w:rsidRPr="00CB0B61" w:rsidRDefault="00FB0CB7" w:rsidP="00B06B8E">
      <w:pPr>
        <w:pStyle w:val="NormalWeb"/>
        <w:spacing w:before="0" w:beforeAutospacing="0" w:after="0" w:afterAutospacing="0" w:line="312" w:lineRule="auto"/>
        <w:jc w:val="both"/>
        <w:rPr>
          <w:b/>
          <w:bCs/>
          <w:sz w:val="22"/>
          <w:szCs w:val="22"/>
        </w:rPr>
      </w:pPr>
      <w:r w:rsidRPr="00CB0B61">
        <w:rPr>
          <w:b/>
          <w:bCs/>
          <w:sz w:val="22"/>
          <w:szCs w:val="22"/>
        </w:rPr>
        <w:t xml:space="preserve">2.1. Study </w:t>
      </w:r>
      <w:r w:rsidR="00665F36">
        <w:rPr>
          <w:b/>
          <w:bCs/>
          <w:sz w:val="22"/>
          <w:szCs w:val="22"/>
        </w:rPr>
        <w:t>d</w:t>
      </w:r>
      <w:r w:rsidRPr="00CB0B61">
        <w:rPr>
          <w:b/>
          <w:bCs/>
          <w:sz w:val="22"/>
          <w:szCs w:val="22"/>
        </w:rPr>
        <w:t>esign</w:t>
      </w:r>
    </w:p>
    <w:p w:rsidR="00FB0CB7" w:rsidRPr="00665F36" w:rsidRDefault="00665F36" w:rsidP="00B06B8E">
      <w:pPr>
        <w:pStyle w:val="NormalWeb"/>
        <w:spacing w:before="0" w:beforeAutospacing="0" w:after="0" w:afterAutospacing="0" w:line="312" w:lineRule="auto"/>
        <w:ind w:firstLine="454"/>
        <w:jc w:val="both"/>
        <w:rPr>
          <w:sz w:val="22"/>
          <w:szCs w:val="22"/>
        </w:rPr>
      </w:pPr>
      <w:r w:rsidRPr="00665F36">
        <w:rPr>
          <w:sz w:val="22"/>
          <w:szCs w:val="22"/>
        </w:rPr>
        <w:t>The study was designed as a single-center, prospecti</w:t>
      </w:r>
      <w:r w:rsidRPr="00665F36">
        <w:rPr>
          <w:sz w:val="22"/>
          <w:szCs w:val="22"/>
        </w:rPr>
        <w:t>ve, randomized controlled trial</w:t>
      </w:r>
      <w:r w:rsidR="00FB0CB7" w:rsidRPr="00665F36">
        <w:rPr>
          <w:sz w:val="22"/>
          <w:szCs w:val="22"/>
        </w:rPr>
        <w:t>.</w:t>
      </w:r>
    </w:p>
    <w:p w:rsidR="00FB0CB7" w:rsidRPr="00CB0B61" w:rsidRDefault="00FB0CB7" w:rsidP="00B06B8E">
      <w:pPr>
        <w:pStyle w:val="NormalWeb"/>
        <w:spacing w:before="0" w:beforeAutospacing="0" w:after="0" w:afterAutospacing="0" w:line="312" w:lineRule="auto"/>
        <w:jc w:val="both"/>
        <w:rPr>
          <w:sz w:val="22"/>
          <w:szCs w:val="22"/>
        </w:rPr>
      </w:pPr>
      <w:r w:rsidRPr="00CB0B61">
        <w:rPr>
          <w:b/>
          <w:bCs/>
          <w:sz w:val="22"/>
          <w:szCs w:val="22"/>
        </w:rPr>
        <w:t xml:space="preserve">2.2. Study </w:t>
      </w:r>
      <w:r w:rsidR="00665F36">
        <w:rPr>
          <w:b/>
          <w:bCs/>
          <w:sz w:val="22"/>
          <w:szCs w:val="22"/>
        </w:rPr>
        <w:t>s</w:t>
      </w:r>
      <w:r w:rsidRPr="00CB0B61">
        <w:rPr>
          <w:b/>
          <w:bCs/>
          <w:sz w:val="22"/>
          <w:szCs w:val="22"/>
        </w:rPr>
        <w:t>ubjects</w:t>
      </w:r>
      <w:r w:rsidRPr="00CB0B61">
        <w:rPr>
          <w:sz w:val="22"/>
          <w:szCs w:val="22"/>
        </w:rPr>
        <w:t xml:space="preserve"> </w:t>
      </w:r>
    </w:p>
    <w:p w:rsidR="00FB0CB7" w:rsidRPr="009349FC" w:rsidRDefault="00FB0CB7" w:rsidP="00B06B8E">
      <w:pPr>
        <w:pStyle w:val="NormalWeb"/>
        <w:spacing w:before="0" w:beforeAutospacing="0" w:after="0" w:afterAutospacing="0" w:line="312" w:lineRule="auto"/>
        <w:ind w:firstLine="454"/>
        <w:jc w:val="both"/>
        <w:rPr>
          <w:spacing w:val="-2"/>
          <w:sz w:val="22"/>
          <w:szCs w:val="22"/>
        </w:rPr>
      </w:pPr>
      <w:r w:rsidRPr="009349FC">
        <w:rPr>
          <w:spacing w:val="-2"/>
          <w:sz w:val="22"/>
          <w:szCs w:val="22"/>
        </w:rPr>
        <w:t xml:space="preserve">The study was conducted on 76 adult patients (aged 18 to 65) with a confirmed diagnosis of inhalation injury (Grade 1 or higher on the AIS scale) by bronchoscopy within 24 hours of admission, who required mechanical ventilation. The patients were treated at the Emergency and Intensive Care Department of the Le Huu Trac National Burn Hospital from November 2021 to February 2024. </w:t>
      </w:r>
      <w:r w:rsidRPr="009349FC">
        <w:rPr>
          <w:rStyle w:val="citation-96"/>
          <w:spacing w:val="-2"/>
          <w:sz w:val="22"/>
          <w:szCs w:val="22"/>
        </w:rPr>
        <w:t>Exclusion criteria included a history of chronic lung disease, pregnancy, severe concomitant trauma, or death within the first 24 hours</w:t>
      </w:r>
      <w:r w:rsidRPr="009349FC">
        <w:rPr>
          <w:spacing w:val="-2"/>
          <w:sz w:val="22"/>
          <w:szCs w:val="22"/>
        </w:rPr>
        <w:t>.</w:t>
      </w:r>
    </w:p>
    <w:p w:rsidR="00FB0CB7" w:rsidRPr="00CB0B61" w:rsidRDefault="00FB0CB7" w:rsidP="00B06B8E">
      <w:pPr>
        <w:pStyle w:val="NormalWeb"/>
        <w:spacing w:before="0" w:beforeAutospacing="0" w:after="0" w:afterAutospacing="0" w:line="312" w:lineRule="auto"/>
        <w:jc w:val="both"/>
        <w:rPr>
          <w:b/>
          <w:bCs/>
          <w:sz w:val="22"/>
          <w:szCs w:val="22"/>
        </w:rPr>
      </w:pPr>
      <w:r w:rsidRPr="00CB0B61">
        <w:rPr>
          <w:b/>
          <w:bCs/>
          <w:sz w:val="22"/>
          <w:szCs w:val="22"/>
        </w:rPr>
        <w:t xml:space="preserve">2.3. Sample </w:t>
      </w:r>
      <w:r w:rsidR="00665F36">
        <w:rPr>
          <w:b/>
          <w:bCs/>
          <w:sz w:val="22"/>
          <w:szCs w:val="22"/>
        </w:rPr>
        <w:t>s</w:t>
      </w:r>
      <w:r w:rsidRPr="00CB0B61">
        <w:rPr>
          <w:b/>
          <w:bCs/>
          <w:sz w:val="22"/>
          <w:szCs w:val="22"/>
        </w:rPr>
        <w:t xml:space="preserve">ize and </w:t>
      </w:r>
      <w:r w:rsidR="00665F36">
        <w:rPr>
          <w:b/>
          <w:bCs/>
          <w:sz w:val="22"/>
          <w:szCs w:val="22"/>
        </w:rPr>
        <w:t>g</w:t>
      </w:r>
      <w:r w:rsidRPr="00CB0B61">
        <w:rPr>
          <w:b/>
          <w:bCs/>
          <w:sz w:val="22"/>
          <w:szCs w:val="22"/>
        </w:rPr>
        <w:t xml:space="preserve">roup </w:t>
      </w:r>
      <w:r w:rsidR="00665F36">
        <w:rPr>
          <w:b/>
          <w:bCs/>
          <w:sz w:val="22"/>
          <w:szCs w:val="22"/>
        </w:rPr>
        <w:t>a</w:t>
      </w:r>
      <w:r w:rsidRPr="00CB0B61">
        <w:rPr>
          <w:b/>
          <w:bCs/>
          <w:sz w:val="22"/>
          <w:szCs w:val="22"/>
        </w:rPr>
        <w:t>llocation</w:t>
      </w:r>
    </w:p>
    <w:p w:rsidR="00FB0CB7" w:rsidRPr="009349FC" w:rsidRDefault="00FB0CB7" w:rsidP="00B06B8E">
      <w:pPr>
        <w:pStyle w:val="NormalWeb"/>
        <w:spacing w:before="0" w:beforeAutospacing="0" w:after="0" w:afterAutospacing="0" w:line="312" w:lineRule="auto"/>
        <w:ind w:firstLine="454"/>
        <w:jc w:val="both"/>
        <w:rPr>
          <w:spacing w:val="-4"/>
          <w:sz w:val="22"/>
          <w:szCs w:val="22"/>
        </w:rPr>
      </w:pPr>
      <w:r w:rsidRPr="009349FC">
        <w:rPr>
          <w:rStyle w:val="citation-95"/>
          <w:spacing w:val="-4"/>
          <w:sz w:val="22"/>
          <w:szCs w:val="22"/>
        </w:rPr>
        <w:t>The sample size was calculated based on the expected change in the Lung Injury Score (LIS), requiring a minimum of 37 patients per group</w:t>
      </w:r>
      <w:r w:rsidRPr="009349FC">
        <w:rPr>
          <w:spacing w:val="-4"/>
          <w:sz w:val="22"/>
          <w:szCs w:val="22"/>
        </w:rPr>
        <w:t xml:space="preserve">. </w:t>
      </w:r>
      <w:r w:rsidRPr="009349FC">
        <w:rPr>
          <w:rStyle w:val="citation-94"/>
          <w:spacing w:val="-4"/>
          <w:sz w:val="22"/>
          <w:szCs w:val="22"/>
        </w:rPr>
        <w:t>A total of 76 eligible patients were randomly assigned using the sealed envelope method into two groups at a 1:1 ratio (n=38 per group)</w:t>
      </w:r>
      <w:r w:rsidRPr="009349FC">
        <w:rPr>
          <w:spacing w:val="-4"/>
          <w:sz w:val="22"/>
          <w:szCs w:val="22"/>
        </w:rPr>
        <w:t>.</w:t>
      </w:r>
    </w:p>
    <w:p w:rsidR="00FB0CB7" w:rsidRPr="00CB0B61" w:rsidRDefault="00FB0CB7" w:rsidP="00B06B8E">
      <w:pPr>
        <w:pStyle w:val="NormalWeb"/>
        <w:spacing w:before="0" w:beforeAutospacing="0" w:after="0" w:afterAutospacing="0" w:line="312" w:lineRule="auto"/>
        <w:ind w:firstLine="454"/>
        <w:jc w:val="both"/>
        <w:rPr>
          <w:sz w:val="22"/>
          <w:szCs w:val="22"/>
        </w:rPr>
      </w:pPr>
      <w:r w:rsidRPr="00CB0B61">
        <w:rPr>
          <w:rStyle w:val="citation-93"/>
          <w:bCs/>
          <w:sz w:val="22"/>
          <w:szCs w:val="22"/>
        </w:rPr>
        <w:t>- Control Group (n=38):</w:t>
      </w:r>
      <w:r w:rsidRPr="00CB0B61">
        <w:rPr>
          <w:rStyle w:val="citation-93"/>
          <w:sz w:val="22"/>
          <w:szCs w:val="22"/>
        </w:rPr>
        <w:t xml:space="preserve"> Patients received standard-of-care treatment, including protective lung ventilation, fluid resuscitation, burn wound care, nutrition, antibiotics, and nebulized Salbutamol</w:t>
      </w:r>
      <w:r w:rsidRPr="00CB0B61">
        <w:rPr>
          <w:sz w:val="22"/>
          <w:szCs w:val="22"/>
        </w:rPr>
        <w:t xml:space="preserve">. </w:t>
      </w:r>
      <w:r w:rsidRPr="00CB0B61">
        <w:rPr>
          <w:rStyle w:val="citation-92"/>
          <w:sz w:val="22"/>
          <w:szCs w:val="22"/>
        </w:rPr>
        <w:t>Bronchoscopy was only performed again on day 7 for assessment or as an emergency procedure for severe airway obstruction unresponsive to conventional suctioning</w:t>
      </w:r>
      <w:r w:rsidRPr="00CB0B61">
        <w:rPr>
          <w:sz w:val="22"/>
          <w:szCs w:val="22"/>
        </w:rPr>
        <w:t>.</w:t>
      </w:r>
    </w:p>
    <w:p w:rsidR="00FB0CB7" w:rsidRPr="00CB0B61" w:rsidRDefault="00FB0CB7" w:rsidP="00B06B8E">
      <w:pPr>
        <w:pStyle w:val="NormalWeb"/>
        <w:spacing w:before="0" w:beforeAutospacing="0" w:after="0" w:afterAutospacing="0" w:line="312" w:lineRule="auto"/>
        <w:ind w:firstLine="454"/>
        <w:jc w:val="both"/>
        <w:rPr>
          <w:sz w:val="22"/>
          <w:szCs w:val="22"/>
        </w:rPr>
      </w:pPr>
      <w:r w:rsidRPr="00CB0B61">
        <w:rPr>
          <w:rStyle w:val="citation-91"/>
          <w:rFonts w:eastAsiaTheme="majorEastAsia"/>
          <w:bCs/>
          <w:sz w:val="22"/>
          <w:szCs w:val="22"/>
        </w:rPr>
        <w:t>- Intervention Group (n=38):</w:t>
      </w:r>
      <w:r w:rsidRPr="00CB0B61">
        <w:rPr>
          <w:rStyle w:val="citation-91"/>
          <w:rFonts w:eastAsiaTheme="majorEastAsia"/>
          <w:sz w:val="22"/>
          <w:szCs w:val="22"/>
        </w:rPr>
        <w:t xml:space="preserve"> Patients received the same standard-of-care as the control group, plus two additional interventions</w:t>
      </w:r>
      <w:r w:rsidRPr="00CB0B61">
        <w:rPr>
          <w:sz w:val="22"/>
          <w:szCs w:val="22"/>
        </w:rPr>
        <w:t>:</w:t>
      </w:r>
    </w:p>
    <w:p w:rsidR="00FB0CB7" w:rsidRPr="00CB0B61" w:rsidRDefault="00FB0CB7" w:rsidP="00B06B8E">
      <w:pPr>
        <w:pStyle w:val="NormalWeb"/>
        <w:spacing w:before="0" w:beforeAutospacing="0" w:after="0" w:afterAutospacing="0" w:line="312" w:lineRule="auto"/>
        <w:ind w:firstLine="454"/>
        <w:jc w:val="both"/>
        <w:rPr>
          <w:sz w:val="22"/>
          <w:szCs w:val="22"/>
        </w:rPr>
      </w:pPr>
      <w:r w:rsidRPr="00CB0B61">
        <w:rPr>
          <w:rStyle w:val="citation-90"/>
          <w:bCs/>
          <w:sz w:val="22"/>
          <w:szCs w:val="22"/>
        </w:rPr>
        <w:t>+ Routine therapeutic bronchoscopy:</w:t>
      </w:r>
      <w:r w:rsidRPr="00CB0B61">
        <w:rPr>
          <w:rStyle w:val="citation-90"/>
          <w:sz w:val="22"/>
          <w:szCs w:val="22"/>
        </w:rPr>
        <w:t xml:space="preserve"> Performed every 48 hours for the first 7 days post-burn (on days 1, 3, 5, and 7)</w:t>
      </w:r>
      <w:r w:rsidRPr="00CB0B61">
        <w:rPr>
          <w:sz w:val="22"/>
          <w:szCs w:val="22"/>
        </w:rPr>
        <w:t xml:space="preserve">. </w:t>
      </w:r>
      <w:r w:rsidRPr="00CB0B61">
        <w:rPr>
          <w:rStyle w:val="citation-89"/>
          <w:sz w:val="22"/>
          <w:szCs w:val="22"/>
        </w:rPr>
        <w:t xml:space="preserve">The procedure </w:t>
      </w:r>
      <w:r w:rsidRPr="00CB0B61">
        <w:rPr>
          <w:rStyle w:val="citation-89"/>
          <w:sz w:val="22"/>
          <w:szCs w:val="22"/>
        </w:rPr>
        <w:lastRenderedPageBreak/>
        <w:t>involved suctioning secretions and soot, and bronchoalveolar lavage with warm 0.9% NaCl solution</w:t>
      </w:r>
      <w:r w:rsidRPr="00CB0B61">
        <w:rPr>
          <w:sz w:val="22"/>
          <w:szCs w:val="22"/>
        </w:rPr>
        <w:t>.</w:t>
      </w:r>
    </w:p>
    <w:p w:rsidR="00FB0CB7" w:rsidRPr="00CB0B61" w:rsidRDefault="00FB0CB7" w:rsidP="00B06B8E">
      <w:pPr>
        <w:pStyle w:val="NormalWeb"/>
        <w:spacing w:before="0" w:beforeAutospacing="0" w:after="0" w:afterAutospacing="0" w:line="312" w:lineRule="auto"/>
        <w:ind w:firstLine="454"/>
        <w:jc w:val="both"/>
        <w:rPr>
          <w:sz w:val="22"/>
          <w:szCs w:val="22"/>
        </w:rPr>
      </w:pPr>
      <w:r w:rsidRPr="00CB0B61">
        <w:rPr>
          <w:rStyle w:val="citation-88"/>
          <w:bCs/>
          <w:sz w:val="22"/>
          <w:szCs w:val="22"/>
        </w:rPr>
        <w:t>+ Nebulized Heparin/N-Acetylcysteine (HNA) therapy:</w:t>
      </w:r>
      <w:r w:rsidRPr="00CB0B61">
        <w:rPr>
          <w:rStyle w:val="citation-88"/>
          <w:sz w:val="22"/>
          <w:szCs w:val="22"/>
        </w:rPr>
        <w:t xml:space="preserve"> Heparin (5000 IU/dose) and N-Acetylcysteine (600 mg/dose) were nebulized alternately every 4 hours, continuously for the first 7 days</w:t>
      </w:r>
      <w:r w:rsidRPr="00CB0B61">
        <w:rPr>
          <w:sz w:val="22"/>
          <w:szCs w:val="22"/>
        </w:rPr>
        <w:t xml:space="preserve">. </w:t>
      </w:r>
      <w:r w:rsidRPr="00CB0B61">
        <w:rPr>
          <w:rStyle w:val="citation-87"/>
          <w:sz w:val="22"/>
          <w:szCs w:val="22"/>
        </w:rPr>
        <w:t>Nebulization was administered via an ultrasonic nebulizer integrated into the ventilator circuit to maintain a closed system</w:t>
      </w:r>
      <w:r w:rsidRPr="00CB0B61">
        <w:rPr>
          <w:sz w:val="22"/>
          <w:szCs w:val="22"/>
        </w:rPr>
        <w:t>.</w:t>
      </w:r>
    </w:p>
    <w:p w:rsidR="00FB0CB7" w:rsidRPr="00CB0B61" w:rsidRDefault="00FB0CB7" w:rsidP="00B06B8E">
      <w:pPr>
        <w:pStyle w:val="NormalWeb"/>
        <w:spacing w:before="0" w:beforeAutospacing="0" w:after="0" w:afterAutospacing="0" w:line="312" w:lineRule="auto"/>
        <w:jc w:val="both"/>
        <w:rPr>
          <w:b/>
          <w:bCs/>
          <w:sz w:val="22"/>
          <w:szCs w:val="22"/>
        </w:rPr>
      </w:pPr>
      <w:r w:rsidRPr="00CB0B61">
        <w:rPr>
          <w:b/>
          <w:bCs/>
          <w:sz w:val="22"/>
          <w:szCs w:val="22"/>
        </w:rPr>
        <w:t xml:space="preserve">2.4. Data </w:t>
      </w:r>
      <w:r w:rsidR="00665F36">
        <w:rPr>
          <w:b/>
          <w:bCs/>
          <w:sz w:val="22"/>
          <w:szCs w:val="22"/>
        </w:rPr>
        <w:t>c</w:t>
      </w:r>
      <w:r w:rsidRPr="00CB0B61">
        <w:rPr>
          <w:b/>
          <w:bCs/>
          <w:sz w:val="22"/>
          <w:szCs w:val="22"/>
        </w:rPr>
        <w:t xml:space="preserve">ollection and </w:t>
      </w:r>
      <w:r w:rsidR="00665F36">
        <w:rPr>
          <w:b/>
          <w:bCs/>
          <w:sz w:val="22"/>
          <w:szCs w:val="22"/>
        </w:rPr>
        <w:t>e</w:t>
      </w:r>
      <w:r w:rsidRPr="00CB0B61">
        <w:rPr>
          <w:b/>
          <w:bCs/>
          <w:sz w:val="22"/>
          <w:szCs w:val="22"/>
        </w:rPr>
        <w:t>ndpoints</w:t>
      </w:r>
    </w:p>
    <w:p w:rsidR="00FB0CB7" w:rsidRPr="00CB0B61" w:rsidRDefault="00FB0CB7" w:rsidP="00B06B8E">
      <w:pPr>
        <w:pStyle w:val="NormalWeb"/>
        <w:spacing w:before="0" w:beforeAutospacing="0" w:after="0" w:afterAutospacing="0" w:line="312" w:lineRule="auto"/>
        <w:ind w:firstLine="454"/>
        <w:jc w:val="both"/>
        <w:rPr>
          <w:sz w:val="22"/>
          <w:szCs w:val="22"/>
        </w:rPr>
      </w:pPr>
      <w:r w:rsidRPr="00CB0B61">
        <w:rPr>
          <w:sz w:val="22"/>
          <w:szCs w:val="22"/>
        </w:rPr>
        <w:t>Epidemiological, clinical, and laboratory data were collected upon admission. Respiratory parameters (arterial blood gas, ventilator settings, pulmonary mechanics), scores (LIS, SOFA, APACHE II), complications, and treatment outcomes (duration of mechanical ventilation, ICU length of stay, mortality rate) were monitored and recorded daily and at specific time points (days 3, 5, 7, 14, 28, and at the end of treatment).</w:t>
      </w:r>
    </w:p>
    <w:p w:rsidR="00FB0CB7" w:rsidRPr="00CB0B61" w:rsidRDefault="00FB0CB7" w:rsidP="00B06B8E">
      <w:pPr>
        <w:pStyle w:val="NormalWeb"/>
        <w:spacing w:before="0" w:beforeAutospacing="0" w:after="0" w:afterAutospacing="0" w:line="312" w:lineRule="auto"/>
        <w:jc w:val="both"/>
        <w:rPr>
          <w:b/>
          <w:bCs/>
          <w:sz w:val="22"/>
          <w:szCs w:val="22"/>
        </w:rPr>
      </w:pPr>
      <w:r w:rsidRPr="00CB0B61">
        <w:rPr>
          <w:b/>
          <w:bCs/>
          <w:sz w:val="22"/>
          <w:szCs w:val="22"/>
        </w:rPr>
        <w:t xml:space="preserve">2.5. Statistical </w:t>
      </w:r>
      <w:r w:rsidR="00665F36">
        <w:rPr>
          <w:b/>
          <w:bCs/>
          <w:sz w:val="22"/>
          <w:szCs w:val="22"/>
        </w:rPr>
        <w:t>a</w:t>
      </w:r>
      <w:r w:rsidRPr="00CB0B61">
        <w:rPr>
          <w:b/>
          <w:bCs/>
          <w:sz w:val="22"/>
          <w:szCs w:val="22"/>
        </w:rPr>
        <w:t>nalysis</w:t>
      </w:r>
    </w:p>
    <w:p w:rsidR="00FB0CB7" w:rsidRPr="00CB0B61" w:rsidRDefault="00FB0CB7" w:rsidP="00B06B8E">
      <w:pPr>
        <w:pStyle w:val="NormalWeb"/>
        <w:spacing w:before="0" w:beforeAutospacing="0" w:after="0" w:afterAutospacing="0" w:line="312" w:lineRule="auto"/>
        <w:ind w:firstLine="454"/>
        <w:jc w:val="both"/>
        <w:rPr>
          <w:sz w:val="22"/>
          <w:szCs w:val="22"/>
        </w:rPr>
      </w:pPr>
      <w:r w:rsidRPr="00CB0B61">
        <w:rPr>
          <w:rStyle w:val="citation-84"/>
          <w:sz w:val="22"/>
          <w:szCs w:val="22"/>
        </w:rPr>
        <w:t>Data were analyzed using STATA 17.0 software</w:t>
      </w:r>
      <w:r w:rsidRPr="00CB0B61">
        <w:rPr>
          <w:sz w:val="22"/>
          <w:szCs w:val="22"/>
        </w:rPr>
        <w:t xml:space="preserve">. </w:t>
      </w:r>
      <w:r w:rsidRPr="00CB0B61">
        <w:rPr>
          <w:rStyle w:val="citation-83"/>
          <w:sz w:val="22"/>
          <w:szCs w:val="22"/>
        </w:rPr>
        <w:t>Appropriate statistical tests (t-test, Mann-Whitney, Chi-square, Wilcoxon) were used for comparisons between groups and over time</w:t>
      </w:r>
      <w:r w:rsidRPr="00CB0B61">
        <w:rPr>
          <w:sz w:val="22"/>
          <w:szCs w:val="22"/>
        </w:rPr>
        <w:t xml:space="preserve">. </w:t>
      </w:r>
      <w:r w:rsidRPr="00CB0B61">
        <w:rPr>
          <w:rStyle w:val="citation-82"/>
          <w:rFonts w:eastAsiaTheme="minorEastAsia"/>
          <w:sz w:val="22"/>
          <w:szCs w:val="22"/>
        </w:rPr>
        <w:t>A multivariate Cox regression model was used to identify independent predictors of mortality</w:t>
      </w:r>
      <w:r w:rsidRPr="00CB0B61">
        <w:rPr>
          <w:sz w:val="22"/>
          <w:szCs w:val="22"/>
        </w:rPr>
        <w:t xml:space="preserve">. </w:t>
      </w:r>
      <w:r w:rsidRPr="00CB0B61">
        <w:rPr>
          <w:rStyle w:val="citation-81"/>
          <w:sz w:val="22"/>
          <w:szCs w:val="22"/>
        </w:rPr>
        <w:t>Statistical significance was set at p&lt;0.05</w:t>
      </w:r>
      <w:r w:rsidRPr="00CB0B61">
        <w:rPr>
          <w:sz w:val="22"/>
          <w:szCs w:val="22"/>
        </w:rPr>
        <w:t>.</w:t>
      </w:r>
    </w:p>
    <w:p w:rsidR="00FB0CB7" w:rsidRPr="00CB0B61" w:rsidRDefault="00FB0CB7" w:rsidP="00B06B8E">
      <w:pPr>
        <w:pStyle w:val="NormalWeb"/>
        <w:spacing w:before="0" w:beforeAutospacing="0" w:after="0" w:afterAutospacing="0" w:line="312" w:lineRule="auto"/>
        <w:jc w:val="both"/>
        <w:rPr>
          <w:sz w:val="22"/>
          <w:szCs w:val="22"/>
        </w:rPr>
      </w:pPr>
      <w:r w:rsidRPr="00CB0B61">
        <w:rPr>
          <w:b/>
          <w:bCs/>
          <w:sz w:val="22"/>
          <w:szCs w:val="22"/>
        </w:rPr>
        <w:t xml:space="preserve">2.6. Ethical </w:t>
      </w:r>
      <w:r w:rsidR="00665F36">
        <w:rPr>
          <w:b/>
          <w:bCs/>
          <w:sz w:val="22"/>
          <w:szCs w:val="22"/>
        </w:rPr>
        <w:t>c</w:t>
      </w:r>
      <w:r w:rsidRPr="00CB0B61">
        <w:rPr>
          <w:b/>
          <w:bCs/>
          <w:sz w:val="22"/>
          <w:szCs w:val="22"/>
        </w:rPr>
        <w:t>onsiderations</w:t>
      </w:r>
    </w:p>
    <w:p w:rsidR="00FB0CB7" w:rsidRPr="00CB0B61" w:rsidRDefault="00FB0CB7" w:rsidP="00B06B8E">
      <w:pPr>
        <w:pStyle w:val="NormalWeb"/>
        <w:spacing w:before="0" w:beforeAutospacing="0" w:after="0" w:afterAutospacing="0" w:line="312" w:lineRule="auto"/>
        <w:ind w:firstLine="454"/>
        <w:jc w:val="both"/>
        <w:rPr>
          <w:sz w:val="22"/>
          <w:szCs w:val="22"/>
        </w:rPr>
      </w:pPr>
      <w:r w:rsidRPr="00CB0B61">
        <w:rPr>
          <w:sz w:val="22"/>
          <w:szCs w:val="22"/>
        </w:rPr>
        <w:t xml:space="preserve">The study protocol was approved by the Ethics Committee in Biomedical Research of Le Huu Trac National Burn Hospital (Decision No. 250/QĐ-BVB, dated March 10, 2020). </w:t>
      </w:r>
      <w:r w:rsidRPr="00CB0B61">
        <w:rPr>
          <w:rStyle w:val="citation-80"/>
          <w:sz w:val="22"/>
          <w:szCs w:val="22"/>
        </w:rPr>
        <w:t>Patients were closely monitored during the study to minimize adverse events and to detect and manage any complications promptly</w:t>
      </w:r>
      <w:r w:rsidRPr="00CB0B61">
        <w:rPr>
          <w:sz w:val="22"/>
          <w:szCs w:val="22"/>
        </w:rPr>
        <w:t>.</w:t>
      </w:r>
    </w:p>
    <w:p w:rsidR="00FB0CB7" w:rsidRPr="00CB0B61" w:rsidRDefault="00FB0CB7" w:rsidP="00B06B8E">
      <w:pPr>
        <w:pStyle w:val="NormalWeb"/>
        <w:spacing w:before="0" w:beforeAutospacing="0" w:after="0" w:afterAutospacing="0" w:line="312" w:lineRule="auto"/>
        <w:ind w:firstLine="454"/>
        <w:jc w:val="both"/>
        <w:rPr>
          <w:sz w:val="22"/>
          <w:szCs w:val="22"/>
        </w:rPr>
      </w:pPr>
      <w:r w:rsidRPr="00CB0B61">
        <w:rPr>
          <w:rStyle w:val="citation-79"/>
          <w:sz w:val="22"/>
          <w:szCs w:val="22"/>
        </w:rPr>
        <w:t>All collected data were used solely for research purposes</w:t>
      </w:r>
      <w:r w:rsidRPr="00CB0B61">
        <w:rPr>
          <w:sz w:val="22"/>
          <w:szCs w:val="22"/>
        </w:rPr>
        <w:t>.</w:t>
      </w:r>
    </w:p>
    <w:p w:rsidR="00FB0CB7" w:rsidRPr="00CB0B61" w:rsidRDefault="00FB0CB7" w:rsidP="00B06B8E">
      <w:pPr>
        <w:pStyle w:val="NormalWeb"/>
        <w:spacing w:before="0" w:beforeAutospacing="0" w:after="0" w:afterAutospacing="0" w:line="312" w:lineRule="auto"/>
        <w:jc w:val="both"/>
        <w:rPr>
          <w:b/>
          <w:bCs/>
          <w:sz w:val="22"/>
          <w:szCs w:val="22"/>
        </w:rPr>
      </w:pPr>
    </w:p>
    <w:p w:rsidR="00FB0CB7" w:rsidRPr="00CB0B61" w:rsidRDefault="00FB0CB7" w:rsidP="00B06B8E">
      <w:pPr>
        <w:pStyle w:val="NormalWeb"/>
        <w:spacing w:before="0" w:beforeAutospacing="0" w:after="0" w:afterAutospacing="0" w:line="312" w:lineRule="auto"/>
        <w:jc w:val="both"/>
        <w:rPr>
          <w:sz w:val="22"/>
          <w:szCs w:val="22"/>
        </w:rPr>
      </w:pPr>
      <w:r w:rsidRPr="00CB0B61">
        <w:rPr>
          <w:b/>
          <w:bCs/>
          <w:sz w:val="22"/>
          <w:szCs w:val="22"/>
        </w:rPr>
        <w:lastRenderedPageBreak/>
        <w:t>Study Flowchart:</w:t>
      </w:r>
    </w:p>
    <w:p w:rsidR="0032577A" w:rsidRPr="00CB0B61" w:rsidRDefault="0032577A" w:rsidP="00B06B8E">
      <w:pPr>
        <w:pStyle w:val="NormalWeb"/>
        <w:spacing w:before="0" w:beforeAutospacing="0" w:after="0" w:afterAutospacing="0" w:line="312" w:lineRule="auto"/>
        <w:ind w:firstLine="720"/>
        <w:jc w:val="both"/>
        <w:rPr>
          <w:color w:val="1B1C1D"/>
          <w:sz w:val="22"/>
          <w:szCs w:val="22"/>
        </w:rPr>
      </w:pPr>
    </w:p>
    <w:p w:rsidR="0032577A" w:rsidRPr="00CB0B61" w:rsidRDefault="0032577A" w:rsidP="00B06B8E">
      <w:pPr>
        <w:pStyle w:val="NormalWeb"/>
        <w:spacing w:before="0" w:beforeAutospacing="0" w:after="0" w:afterAutospacing="0" w:line="312" w:lineRule="auto"/>
        <w:rPr>
          <w:color w:val="1B1C1D"/>
          <w:sz w:val="22"/>
          <w:szCs w:val="22"/>
        </w:rPr>
      </w:pPr>
      <w:r w:rsidRPr="00CB0B61">
        <w:rPr>
          <w:noProof/>
          <w:color w:val="000000" w:themeColor="text1"/>
          <w:sz w:val="22"/>
          <w:szCs w:val="22"/>
        </w:rPr>
        <w:drawing>
          <wp:inline distT="0" distB="0" distL="0" distR="0" wp14:anchorId="22D8A25D" wp14:editId="6BD99CCE">
            <wp:extent cx="4178258" cy="4926965"/>
            <wp:effectExtent l="0" t="0" r="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296481" cy="5066372"/>
                    </a:xfrm>
                    <a:prstGeom prst="rect">
                      <a:avLst/>
                    </a:prstGeom>
                  </pic:spPr>
                </pic:pic>
              </a:graphicData>
            </a:graphic>
          </wp:inline>
        </w:drawing>
      </w:r>
    </w:p>
    <w:p w:rsidR="00A7384B" w:rsidRPr="00CB0B61" w:rsidRDefault="00A7384B" w:rsidP="00B06B8E">
      <w:pPr>
        <w:pStyle w:val="Heading3"/>
        <w:spacing w:before="0" w:beforeAutospacing="0" w:after="0" w:afterAutospacing="0" w:line="312" w:lineRule="auto"/>
        <w:jc w:val="both"/>
        <w:rPr>
          <w:color w:val="1B1C1D"/>
          <w:sz w:val="22"/>
          <w:szCs w:val="22"/>
          <w:bdr w:val="none" w:sz="0" w:space="0" w:color="auto" w:frame="1"/>
        </w:rPr>
      </w:pPr>
    </w:p>
    <w:p w:rsidR="00A7384B" w:rsidRPr="00CB0B61" w:rsidRDefault="00A7384B" w:rsidP="00B06B8E">
      <w:pPr>
        <w:pStyle w:val="Heading3"/>
        <w:spacing w:before="0" w:beforeAutospacing="0" w:after="0" w:afterAutospacing="0" w:line="312" w:lineRule="auto"/>
        <w:jc w:val="both"/>
        <w:rPr>
          <w:color w:val="1B1C1D"/>
          <w:sz w:val="22"/>
          <w:szCs w:val="22"/>
          <w:bdr w:val="none" w:sz="0" w:space="0" w:color="auto" w:frame="1"/>
        </w:rPr>
      </w:pPr>
    </w:p>
    <w:p w:rsidR="00A7384B" w:rsidRPr="00CB0B61" w:rsidRDefault="00A7384B" w:rsidP="00B06B8E">
      <w:pPr>
        <w:pStyle w:val="Heading3"/>
        <w:spacing w:before="0" w:beforeAutospacing="0" w:after="0" w:afterAutospacing="0" w:line="312" w:lineRule="auto"/>
        <w:jc w:val="both"/>
        <w:rPr>
          <w:color w:val="1B1C1D"/>
          <w:sz w:val="22"/>
          <w:szCs w:val="22"/>
          <w:bdr w:val="none" w:sz="0" w:space="0" w:color="auto" w:frame="1"/>
        </w:rPr>
      </w:pPr>
    </w:p>
    <w:p w:rsidR="00566F5B" w:rsidRDefault="00566F5B" w:rsidP="00B06B8E">
      <w:pPr>
        <w:pStyle w:val="Heading3"/>
        <w:spacing w:before="0" w:beforeAutospacing="0" w:after="0" w:afterAutospacing="0" w:line="312" w:lineRule="auto"/>
        <w:jc w:val="center"/>
        <w:rPr>
          <w:sz w:val="22"/>
          <w:szCs w:val="22"/>
        </w:rPr>
      </w:pPr>
      <w:r w:rsidRPr="00CB0B61">
        <w:rPr>
          <w:sz w:val="22"/>
          <w:szCs w:val="22"/>
        </w:rPr>
        <w:lastRenderedPageBreak/>
        <w:t>Chapter 3. RESULTS</w:t>
      </w:r>
    </w:p>
    <w:p w:rsidR="009349FC" w:rsidRPr="00CB0B61" w:rsidRDefault="009349FC" w:rsidP="00B06B8E">
      <w:pPr>
        <w:pStyle w:val="Heading3"/>
        <w:spacing w:before="0" w:beforeAutospacing="0" w:after="0" w:afterAutospacing="0" w:line="312" w:lineRule="auto"/>
        <w:jc w:val="center"/>
        <w:rPr>
          <w:sz w:val="22"/>
          <w:szCs w:val="22"/>
        </w:rPr>
      </w:pPr>
    </w:p>
    <w:p w:rsidR="00566F5B" w:rsidRPr="00CB0B61" w:rsidRDefault="00566F5B" w:rsidP="009349FC">
      <w:pPr>
        <w:pStyle w:val="NormalWeb"/>
        <w:spacing w:before="0" w:beforeAutospacing="0" w:after="0" w:afterAutospacing="0" w:line="312" w:lineRule="auto"/>
        <w:jc w:val="both"/>
        <w:rPr>
          <w:sz w:val="22"/>
          <w:szCs w:val="22"/>
        </w:rPr>
      </w:pPr>
      <w:r w:rsidRPr="00CB0B61">
        <w:rPr>
          <w:b/>
          <w:bCs/>
          <w:sz w:val="22"/>
          <w:szCs w:val="22"/>
        </w:rPr>
        <w:t xml:space="preserve">3.1. Clinical and </w:t>
      </w:r>
      <w:r w:rsidR="00665F36">
        <w:rPr>
          <w:b/>
          <w:bCs/>
          <w:sz w:val="22"/>
          <w:szCs w:val="22"/>
        </w:rPr>
        <w:t>l</w:t>
      </w:r>
      <w:r w:rsidRPr="00CB0B61">
        <w:rPr>
          <w:b/>
          <w:bCs/>
          <w:sz w:val="22"/>
          <w:szCs w:val="22"/>
        </w:rPr>
        <w:t xml:space="preserve">aboratory </w:t>
      </w:r>
      <w:r w:rsidR="00665F36">
        <w:rPr>
          <w:b/>
          <w:bCs/>
          <w:sz w:val="22"/>
          <w:szCs w:val="22"/>
        </w:rPr>
        <w:t>c</w:t>
      </w:r>
      <w:r w:rsidRPr="00CB0B61">
        <w:rPr>
          <w:b/>
          <w:bCs/>
          <w:sz w:val="22"/>
          <w:szCs w:val="22"/>
        </w:rPr>
        <w:t xml:space="preserve">haracteristics of </w:t>
      </w:r>
      <w:r w:rsidR="00665F36">
        <w:rPr>
          <w:b/>
          <w:bCs/>
          <w:sz w:val="22"/>
          <w:szCs w:val="22"/>
        </w:rPr>
        <w:t>p</w:t>
      </w:r>
      <w:r w:rsidRPr="00CB0B61">
        <w:rPr>
          <w:b/>
          <w:bCs/>
          <w:sz w:val="22"/>
          <w:szCs w:val="22"/>
        </w:rPr>
        <w:t xml:space="preserve">atients upon </w:t>
      </w:r>
      <w:r w:rsidR="00665F36">
        <w:rPr>
          <w:b/>
          <w:bCs/>
          <w:sz w:val="22"/>
          <w:szCs w:val="22"/>
        </w:rPr>
        <w:t>s</w:t>
      </w:r>
      <w:r w:rsidRPr="00CB0B61">
        <w:rPr>
          <w:b/>
          <w:bCs/>
          <w:sz w:val="22"/>
          <w:szCs w:val="22"/>
        </w:rPr>
        <w:t>dmission</w:t>
      </w:r>
    </w:p>
    <w:p w:rsidR="00EB23B9" w:rsidRPr="00CB0B61" w:rsidRDefault="00566F5B" w:rsidP="00B06B8E">
      <w:pPr>
        <w:pStyle w:val="NormalWeb"/>
        <w:spacing w:before="0" w:beforeAutospacing="0" w:after="0" w:afterAutospacing="0" w:line="312" w:lineRule="auto"/>
        <w:jc w:val="center"/>
        <w:rPr>
          <w:sz w:val="22"/>
          <w:szCs w:val="22"/>
        </w:rPr>
      </w:pPr>
      <w:r w:rsidRPr="00CB0B61">
        <w:rPr>
          <w:rStyle w:val="citation-77"/>
          <w:b/>
          <w:bCs/>
          <w:sz w:val="22"/>
          <w:szCs w:val="22"/>
        </w:rPr>
        <w:t xml:space="preserve">Table 1. General </w:t>
      </w:r>
      <w:r w:rsidR="00665F36">
        <w:rPr>
          <w:rStyle w:val="citation-77"/>
          <w:b/>
          <w:bCs/>
          <w:sz w:val="22"/>
          <w:szCs w:val="22"/>
        </w:rPr>
        <w:t>v</w:t>
      </w:r>
      <w:r w:rsidRPr="00CB0B61">
        <w:rPr>
          <w:rStyle w:val="citation-77"/>
          <w:b/>
          <w:bCs/>
          <w:sz w:val="22"/>
          <w:szCs w:val="22"/>
        </w:rPr>
        <w:t xml:space="preserve">haracteristics of the </w:t>
      </w:r>
      <w:r w:rsidR="00665F36">
        <w:rPr>
          <w:rStyle w:val="citation-77"/>
          <w:b/>
          <w:bCs/>
          <w:sz w:val="22"/>
          <w:szCs w:val="22"/>
        </w:rPr>
        <w:t>s</w:t>
      </w:r>
      <w:r w:rsidRPr="00CB0B61">
        <w:rPr>
          <w:rStyle w:val="citation-77"/>
          <w:b/>
          <w:bCs/>
          <w:sz w:val="22"/>
          <w:szCs w:val="22"/>
        </w:rPr>
        <w:t xml:space="preserve">tudy </w:t>
      </w:r>
      <w:r w:rsidR="00665F36">
        <w:rPr>
          <w:rStyle w:val="citation-77"/>
          <w:b/>
          <w:bCs/>
          <w:sz w:val="22"/>
          <w:szCs w:val="22"/>
        </w:rPr>
        <w:t>p</w:t>
      </w:r>
      <w:r w:rsidRPr="00CB0B61">
        <w:rPr>
          <w:rStyle w:val="citation-77"/>
          <w:b/>
          <w:bCs/>
          <w:sz w:val="22"/>
          <w:szCs w:val="22"/>
        </w:rPr>
        <w:t>opulation (n=76)</w:t>
      </w:r>
    </w:p>
    <w:tbl>
      <w:tblPr>
        <w:tblStyle w:val="TableGrid"/>
        <w:tblW w:w="6286" w:type="dxa"/>
        <w:tblLook w:val="04A0" w:firstRow="1" w:lastRow="0" w:firstColumn="1" w:lastColumn="0" w:noHBand="0" w:noVBand="1"/>
      </w:tblPr>
      <w:tblGrid>
        <w:gridCol w:w="2823"/>
        <w:gridCol w:w="1778"/>
        <w:gridCol w:w="1685"/>
      </w:tblGrid>
      <w:tr w:rsidR="00EB23B9" w:rsidRPr="00CB0B61" w:rsidTr="00BF7EFC">
        <w:tc>
          <w:tcPr>
            <w:tcW w:w="2823" w:type="dxa"/>
            <w:hideMark/>
          </w:tcPr>
          <w:p w:rsidR="00EB23B9" w:rsidRPr="00CB0B61" w:rsidRDefault="00566F5B" w:rsidP="00BF7EFC">
            <w:pPr>
              <w:spacing w:before="60" w:line="312" w:lineRule="auto"/>
              <w:jc w:val="both"/>
              <w:rPr>
                <w:rFonts w:ascii="Times New Roman" w:hAnsi="Times New Roman" w:cs="Times New Roman"/>
                <w:b/>
                <w:color w:val="1B1C1D"/>
              </w:rPr>
            </w:pPr>
            <w:r w:rsidRPr="00CB0B61">
              <w:rPr>
                <w:rFonts w:ascii="Times New Roman" w:hAnsi="Times New Roman" w:cs="Times New Roman"/>
                <w:b/>
              </w:rPr>
              <w:t>Characteristic</w:t>
            </w:r>
          </w:p>
        </w:tc>
        <w:tc>
          <w:tcPr>
            <w:tcW w:w="1778" w:type="dxa"/>
            <w:hideMark/>
          </w:tcPr>
          <w:p w:rsidR="00EB23B9" w:rsidRPr="00CB0B61" w:rsidRDefault="00566F5B" w:rsidP="00BF7EFC">
            <w:pPr>
              <w:spacing w:before="60" w:line="312" w:lineRule="auto"/>
              <w:jc w:val="center"/>
              <w:rPr>
                <w:rFonts w:ascii="Times New Roman" w:hAnsi="Times New Roman" w:cs="Times New Roman"/>
                <w:b/>
                <w:color w:val="1B1C1D"/>
              </w:rPr>
            </w:pPr>
            <w:r w:rsidRPr="00CB0B61">
              <w:rPr>
                <w:rFonts w:ascii="Times New Roman" w:hAnsi="Times New Roman" w:cs="Times New Roman"/>
                <w:b/>
                <w:color w:val="1B1C1D"/>
              </w:rPr>
              <w:t>Median</w:t>
            </w:r>
          </w:p>
        </w:tc>
        <w:tc>
          <w:tcPr>
            <w:tcW w:w="1685" w:type="dxa"/>
            <w:hideMark/>
          </w:tcPr>
          <w:p w:rsidR="00EB23B9" w:rsidRPr="00CB0B61" w:rsidRDefault="00EB23B9" w:rsidP="00BF7EFC">
            <w:pPr>
              <w:spacing w:before="60" w:line="312" w:lineRule="auto"/>
              <w:jc w:val="center"/>
              <w:rPr>
                <w:rFonts w:ascii="Times New Roman" w:hAnsi="Times New Roman" w:cs="Times New Roman"/>
                <w:b/>
                <w:color w:val="1B1C1D"/>
              </w:rPr>
            </w:pPr>
            <w:r w:rsidRPr="00CB0B61">
              <w:rPr>
                <w:rFonts w:ascii="Times New Roman" w:hAnsi="Times New Roman" w:cs="Times New Roman"/>
                <w:b/>
                <w:color w:val="1B1C1D"/>
              </w:rPr>
              <w:t>IQR</w:t>
            </w:r>
          </w:p>
        </w:tc>
      </w:tr>
      <w:tr w:rsidR="00EB23B9" w:rsidRPr="00CB0B61" w:rsidTr="00BF7EFC">
        <w:tc>
          <w:tcPr>
            <w:tcW w:w="2823" w:type="dxa"/>
            <w:hideMark/>
          </w:tcPr>
          <w:p w:rsidR="00EB23B9" w:rsidRPr="00CB0B61" w:rsidRDefault="00566F5B" w:rsidP="00BF7EFC">
            <w:pPr>
              <w:spacing w:before="60" w:line="312" w:lineRule="auto"/>
              <w:jc w:val="both"/>
              <w:rPr>
                <w:rFonts w:ascii="Times New Roman" w:hAnsi="Times New Roman" w:cs="Times New Roman"/>
                <w:color w:val="1B1C1D"/>
              </w:rPr>
            </w:pPr>
            <w:r w:rsidRPr="00CB0B61">
              <w:rPr>
                <w:rFonts w:ascii="Times New Roman" w:hAnsi="Times New Roman" w:cs="Times New Roman"/>
              </w:rPr>
              <w:t>Age (years)</w:t>
            </w:r>
          </w:p>
        </w:tc>
        <w:tc>
          <w:tcPr>
            <w:tcW w:w="1778"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37</w:t>
            </w:r>
          </w:p>
        </w:tc>
        <w:tc>
          <w:tcPr>
            <w:tcW w:w="1685"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29 – 45</w:t>
            </w:r>
          </w:p>
        </w:tc>
      </w:tr>
      <w:tr w:rsidR="00EB23B9" w:rsidRPr="00CB0B61" w:rsidTr="00BF7EFC">
        <w:tc>
          <w:tcPr>
            <w:tcW w:w="2823" w:type="dxa"/>
            <w:hideMark/>
          </w:tcPr>
          <w:p w:rsidR="00EB23B9" w:rsidRPr="00CB0B61" w:rsidRDefault="00566F5B" w:rsidP="00BF7EFC">
            <w:pPr>
              <w:spacing w:before="60" w:line="312" w:lineRule="auto"/>
              <w:jc w:val="both"/>
              <w:rPr>
                <w:rFonts w:ascii="Times New Roman" w:hAnsi="Times New Roman" w:cs="Times New Roman"/>
                <w:color w:val="1B1C1D"/>
              </w:rPr>
            </w:pPr>
            <w:r w:rsidRPr="00CB0B61">
              <w:rPr>
                <w:rFonts w:ascii="Times New Roman" w:hAnsi="Times New Roman" w:cs="Times New Roman"/>
              </w:rPr>
              <w:t>Total Burn Surface Area (%)</w:t>
            </w:r>
          </w:p>
        </w:tc>
        <w:tc>
          <w:tcPr>
            <w:tcW w:w="1778"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66</w:t>
            </w:r>
          </w:p>
        </w:tc>
        <w:tc>
          <w:tcPr>
            <w:tcW w:w="1685"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50 – 81,5</w:t>
            </w:r>
          </w:p>
        </w:tc>
      </w:tr>
      <w:tr w:rsidR="00EB23B9" w:rsidRPr="00CB0B61" w:rsidTr="00BF7EFC">
        <w:tc>
          <w:tcPr>
            <w:tcW w:w="2823" w:type="dxa"/>
            <w:hideMark/>
          </w:tcPr>
          <w:p w:rsidR="00EB23B9" w:rsidRPr="00CB0B61" w:rsidRDefault="00566F5B" w:rsidP="00BF7EFC">
            <w:pPr>
              <w:spacing w:before="60" w:line="312" w:lineRule="auto"/>
              <w:jc w:val="both"/>
              <w:rPr>
                <w:rFonts w:ascii="Times New Roman" w:hAnsi="Times New Roman" w:cs="Times New Roman"/>
                <w:color w:val="1B1C1D"/>
              </w:rPr>
            </w:pPr>
            <w:r w:rsidRPr="00CB0B61">
              <w:rPr>
                <w:rFonts w:ascii="Times New Roman" w:hAnsi="Times New Roman" w:cs="Times New Roman"/>
              </w:rPr>
              <w:t>Deep Burn Surface Area (%)</w:t>
            </w:r>
          </w:p>
        </w:tc>
        <w:tc>
          <w:tcPr>
            <w:tcW w:w="1778"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40</w:t>
            </w:r>
          </w:p>
        </w:tc>
        <w:tc>
          <w:tcPr>
            <w:tcW w:w="1685"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17 – 51,5</w:t>
            </w:r>
          </w:p>
        </w:tc>
      </w:tr>
      <w:tr w:rsidR="00EB23B9" w:rsidRPr="00CB0B61" w:rsidTr="00BF7EFC">
        <w:tc>
          <w:tcPr>
            <w:tcW w:w="2823" w:type="dxa"/>
            <w:hideMark/>
          </w:tcPr>
          <w:p w:rsidR="00EB23B9" w:rsidRPr="00CB0B61" w:rsidRDefault="00566F5B" w:rsidP="00BF7EFC">
            <w:pPr>
              <w:spacing w:before="60" w:line="312" w:lineRule="auto"/>
              <w:jc w:val="both"/>
              <w:rPr>
                <w:rFonts w:ascii="Times New Roman" w:hAnsi="Times New Roman" w:cs="Times New Roman"/>
                <w:color w:val="1B1C1D"/>
              </w:rPr>
            </w:pPr>
            <w:r w:rsidRPr="00CB0B61">
              <w:rPr>
                <w:rFonts w:ascii="Times New Roman" w:hAnsi="Times New Roman" w:cs="Times New Roman"/>
              </w:rPr>
              <w:t>Time to admission (hours)</w:t>
            </w:r>
          </w:p>
        </w:tc>
        <w:tc>
          <w:tcPr>
            <w:tcW w:w="1778"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6</w:t>
            </w:r>
          </w:p>
        </w:tc>
        <w:tc>
          <w:tcPr>
            <w:tcW w:w="1685"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3,5 – 9</w:t>
            </w:r>
          </w:p>
        </w:tc>
      </w:tr>
      <w:tr w:rsidR="00EB23B9" w:rsidRPr="00CB0B61" w:rsidTr="00BF7EFC">
        <w:tc>
          <w:tcPr>
            <w:tcW w:w="2823" w:type="dxa"/>
            <w:hideMark/>
          </w:tcPr>
          <w:p w:rsidR="00EB23B9" w:rsidRPr="00CB0B61" w:rsidRDefault="00566F5B" w:rsidP="00BF7EFC">
            <w:pPr>
              <w:spacing w:before="60" w:line="312" w:lineRule="auto"/>
              <w:jc w:val="both"/>
              <w:rPr>
                <w:rFonts w:ascii="Times New Roman" w:hAnsi="Times New Roman" w:cs="Times New Roman"/>
                <w:color w:val="1B1C1D"/>
              </w:rPr>
            </w:pPr>
            <w:r w:rsidRPr="00CB0B61">
              <w:rPr>
                <w:rFonts w:ascii="Times New Roman" w:hAnsi="Times New Roman" w:cs="Times New Roman"/>
                <w:b/>
              </w:rPr>
              <w:t>Gender</w:t>
            </w:r>
          </w:p>
        </w:tc>
        <w:tc>
          <w:tcPr>
            <w:tcW w:w="1778" w:type="dxa"/>
            <w:hideMark/>
          </w:tcPr>
          <w:p w:rsidR="00EB23B9" w:rsidRPr="00CB0B61" w:rsidRDefault="00566F5B" w:rsidP="00BF7EFC">
            <w:pPr>
              <w:spacing w:before="60" w:line="312" w:lineRule="auto"/>
              <w:jc w:val="center"/>
              <w:rPr>
                <w:rFonts w:ascii="Times New Roman" w:hAnsi="Times New Roman" w:cs="Times New Roman"/>
                <w:b/>
                <w:color w:val="1B1C1D"/>
              </w:rPr>
            </w:pPr>
            <w:r w:rsidRPr="00CB0B61">
              <w:rPr>
                <w:rFonts w:ascii="Times New Roman" w:hAnsi="Times New Roman" w:cs="Times New Roman"/>
                <w:b/>
              </w:rPr>
              <w:t>Frequency</w:t>
            </w:r>
          </w:p>
        </w:tc>
        <w:tc>
          <w:tcPr>
            <w:tcW w:w="1685" w:type="dxa"/>
            <w:hideMark/>
          </w:tcPr>
          <w:p w:rsidR="00EB23B9" w:rsidRPr="00CB0B61" w:rsidRDefault="00566F5B" w:rsidP="00BF7EFC">
            <w:pPr>
              <w:spacing w:before="60" w:line="312" w:lineRule="auto"/>
              <w:jc w:val="center"/>
              <w:rPr>
                <w:rFonts w:ascii="Times New Roman" w:hAnsi="Times New Roman" w:cs="Times New Roman"/>
                <w:b/>
                <w:color w:val="1B1C1D"/>
              </w:rPr>
            </w:pPr>
            <w:r w:rsidRPr="00CB0B61">
              <w:rPr>
                <w:rFonts w:ascii="Times New Roman" w:hAnsi="Times New Roman" w:cs="Times New Roman"/>
                <w:b/>
              </w:rPr>
              <w:t>Percentage %</w:t>
            </w:r>
          </w:p>
        </w:tc>
      </w:tr>
      <w:tr w:rsidR="00EB23B9" w:rsidRPr="00CB0B61" w:rsidTr="00BF7EFC">
        <w:tc>
          <w:tcPr>
            <w:tcW w:w="2823" w:type="dxa"/>
            <w:hideMark/>
          </w:tcPr>
          <w:p w:rsidR="00EB23B9" w:rsidRPr="00CB0B61" w:rsidRDefault="00566F5B" w:rsidP="00BF7EFC">
            <w:pPr>
              <w:spacing w:before="60" w:line="312" w:lineRule="auto"/>
              <w:jc w:val="both"/>
              <w:rPr>
                <w:rFonts w:ascii="Times New Roman" w:hAnsi="Times New Roman" w:cs="Times New Roman"/>
                <w:color w:val="1B1C1D"/>
              </w:rPr>
            </w:pPr>
            <w:r w:rsidRPr="00CB0B61">
              <w:rPr>
                <w:rFonts w:ascii="Times New Roman" w:hAnsi="Times New Roman" w:cs="Times New Roman"/>
              </w:rPr>
              <w:t>Male</w:t>
            </w:r>
          </w:p>
        </w:tc>
        <w:tc>
          <w:tcPr>
            <w:tcW w:w="1778"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58</w:t>
            </w:r>
          </w:p>
        </w:tc>
        <w:tc>
          <w:tcPr>
            <w:tcW w:w="1685"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76,3</w:t>
            </w:r>
          </w:p>
        </w:tc>
      </w:tr>
      <w:tr w:rsidR="00EB23B9" w:rsidRPr="00CB0B61" w:rsidTr="00BF7EFC">
        <w:tc>
          <w:tcPr>
            <w:tcW w:w="2823" w:type="dxa"/>
            <w:hideMark/>
          </w:tcPr>
          <w:p w:rsidR="00EB23B9" w:rsidRPr="00CB0B61" w:rsidRDefault="00566F5B" w:rsidP="00BF7EFC">
            <w:pPr>
              <w:spacing w:before="60" w:line="312" w:lineRule="auto"/>
              <w:jc w:val="both"/>
              <w:rPr>
                <w:rFonts w:ascii="Times New Roman" w:hAnsi="Times New Roman" w:cs="Times New Roman"/>
                <w:color w:val="1B1C1D"/>
              </w:rPr>
            </w:pPr>
            <w:r w:rsidRPr="00CB0B61">
              <w:rPr>
                <w:rFonts w:ascii="Times New Roman" w:hAnsi="Times New Roman" w:cs="Times New Roman"/>
              </w:rPr>
              <w:t>Female</w:t>
            </w:r>
          </w:p>
        </w:tc>
        <w:tc>
          <w:tcPr>
            <w:tcW w:w="1778"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18</w:t>
            </w:r>
          </w:p>
        </w:tc>
        <w:tc>
          <w:tcPr>
            <w:tcW w:w="1685"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13,7</w:t>
            </w:r>
          </w:p>
        </w:tc>
      </w:tr>
    </w:tbl>
    <w:p w:rsidR="00EB23B9" w:rsidRPr="00CB0B61" w:rsidRDefault="00566F5B" w:rsidP="00B06B8E">
      <w:pPr>
        <w:pStyle w:val="NormalWeb"/>
        <w:spacing w:before="0" w:beforeAutospacing="0" w:after="0" w:afterAutospacing="0" w:line="312" w:lineRule="auto"/>
        <w:ind w:firstLine="454"/>
        <w:jc w:val="both"/>
        <w:rPr>
          <w:color w:val="1B1C1D"/>
          <w:sz w:val="22"/>
          <w:szCs w:val="22"/>
        </w:rPr>
      </w:pPr>
      <w:r w:rsidRPr="00CB0B61">
        <w:rPr>
          <w:rStyle w:val="citation-221"/>
          <w:sz w:val="22"/>
          <w:szCs w:val="22"/>
        </w:rPr>
        <w:t>The study population generally consisted of young adults (median age 37), predominantly male (76.3%), with very severe burns, indicated by large total and deep burn surface areas</w:t>
      </w:r>
      <w:r w:rsidRPr="00CB0B61">
        <w:rPr>
          <w:sz w:val="22"/>
          <w:szCs w:val="22"/>
        </w:rPr>
        <w:t xml:space="preserve">. </w:t>
      </w:r>
      <w:r w:rsidRPr="00CB0B61">
        <w:rPr>
          <w:rStyle w:val="citation-220"/>
          <w:sz w:val="22"/>
          <w:szCs w:val="22"/>
        </w:rPr>
        <w:t>Early hospital admission (median 6 hours) was a favorable factor for timely intervention</w:t>
      </w:r>
      <w:r w:rsidRPr="00CB0B61">
        <w:rPr>
          <w:sz w:val="22"/>
          <w:szCs w:val="22"/>
        </w:rPr>
        <w:t>.</w:t>
      </w:r>
      <w:r w:rsidR="00EB23B9" w:rsidRPr="00CB0B61">
        <w:rPr>
          <w:color w:val="1B1C1D"/>
          <w:sz w:val="22"/>
          <w:szCs w:val="22"/>
        </w:rPr>
        <w:t xml:space="preserve"> </w:t>
      </w:r>
    </w:p>
    <w:p w:rsidR="00A84E92" w:rsidRPr="00CB0B61" w:rsidRDefault="00566F5B" w:rsidP="00B06B8E">
      <w:pPr>
        <w:pStyle w:val="NormalWeb"/>
        <w:spacing w:before="0" w:beforeAutospacing="0" w:after="0" w:afterAutospacing="0" w:line="312" w:lineRule="auto"/>
        <w:jc w:val="center"/>
        <w:rPr>
          <w:b/>
          <w:bCs/>
          <w:color w:val="1B1C1D"/>
          <w:sz w:val="22"/>
          <w:szCs w:val="22"/>
          <w:bdr w:val="none" w:sz="0" w:space="0" w:color="auto" w:frame="1"/>
        </w:rPr>
      </w:pPr>
      <w:r w:rsidRPr="00CB0B61">
        <w:rPr>
          <w:b/>
          <w:sz w:val="22"/>
          <w:szCs w:val="22"/>
        </w:rPr>
        <w:lastRenderedPageBreak/>
        <w:t xml:space="preserve">Chart 1. Severity of </w:t>
      </w:r>
      <w:r w:rsidR="00665F36">
        <w:rPr>
          <w:b/>
          <w:sz w:val="22"/>
          <w:szCs w:val="22"/>
        </w:rPr>
        <w:t>i</w:t>
      </w:r>
      <w:r w:rsidRPr="00CB0B61">
        <w:rPr>
          <w:b/>
          <w:sz w:val="22"/>
          <w:szCs w:val="22"/>
        </w:rPr>
        <w:t xml:space="preserve">nhalation </w:t>
      </w:r>
      <w:r w:rsidR="00665F36">
        <w:rPr>
          <w:b/>
          <w:sz w:val="22"/>
          <w:szCs w:val="22"/>
        </w:rPr>
        <w:t>i</w:t>
      </w:r>
      <w:r w:rsidRPr="00CB0B61">
        <w:rPr>
          <w:b/>
          <w:sz w:val="22"/>
          <w:szCs w:val="22"/>
        </w:rPr>
        <w:t xml:space="preserve">njury in the </w:t>
      </w:r>
      <w:r w:rsidR="00665F36">
        <w:rPr>
          <w:b/>
          <w:sz w:val="22"/>
          <w:szCs w:val="22"/>
        </w:rPr>
        <w:t>s</w:t>
      </w:r>
      <w:r w:rsidRPr="00CB0B61">
        <w:rPr>
          <w:b/>
          <w:sz w:val="22"/>
          <w:szCs w:val="22"/>
        </w:rPr>
        <w:t xml:space="preserve">tudy </w:t>
      </w:r>
      <w:r w:rsidR="00665F36">
        <w:rPr>
          <w:b/>
          <w:sz w:val="22"/>
          <w:szCs w:val="22"/>
        </w:rPr>
        <w:t>p</w:t>
      </w:r>
      <w:r w:rsidRPr="00CB0B61">
        <w:rPr>
          <w:b/>
          <w:sz w:val="22"/>
          <w:szCs w:val="22"/>
        </w:rPr>
        <w:t>opulation (n=76)</w:t>
      </w:r>
      <w:r w:rsidR="00A84E92" w:rsidRPr="00CB0B61">
        <w:rPr>
          <w:b/>
          <w:noProof/>
          <w:color w:val="000000" w:themeColor="text1"/>
          <w:sz w:val="22"/>
          <w:szCs w:val="22"/>
        </w:rPr>
        <w:drawing>
          <wp:inline distT="0" distB="0" distL="0" distR="0" wp14:anchorId="6C749368" wp14:editId="4F47F018">
            <wp:extent cx="3949564" cy="2872409"/>
            <wp:effectExtent l="19050" t="19050" r="13335" b="2349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81383" cy="2895550"/>
                    </a:xfrm>
                    <a:prstGeom prst="rect">
                      <a:avLst/>
                    </a:prstGeom>
                    <a:noFill/>
                    <a:ln>
                      <a:solidFill>
                        <a:schemeClr val="tx1"/>
                      </a:solidFill>
                    </a:ln>
                  </pic:spPr>
                </pic:pic>
              </a:graphicData>
            </a:graphic>
          </wp:inline>
        </w:drawing>
      </w:r>
    </w:p>
    <w:p w:rsidR="00A84E92" w:rsidRPr="00CB0B61" w:rsidRDefault="00566F5B" w:rsidP="00B06B8E">
      <w:pPr>
        <w:pStyle w:val="NormalWeb"/>
        <w:spacing w:before="0" w:beforeAutospacing="0" w:after="0" w:afterAutospacing="0" w:line="312" w:lineRule="auto"/>
        <w:ind w:firstLine="454"/>
        <w:jc w:val="both"/>
        <w:rPr>
          <w:sz w:val="22"/>
          <w:szCs w:val="22"/>
        </w:rPr>
      </w:pPr>
      <w:r w:rsidRPr="00CB0B61">
        <w:rPr>
          <w:rStyle w:val="citation-218"/>
          <w:sz w:val="22"/>
          <w:szCs w:val="22"/>
        </w:rPr>
        <w:t>The most common grade of respiratory tract injury was grade 2 (59.2%), followed by grade 1 (25.0%)</w:t>
      </w:r>
      <w:r w:rsidRPr="00CB0B61">
        <w:rPr>
          <w:sz w:val="22"/>
          <w:szCs w:val="22"/>
        </w:rPr>
        <w:t xml:space="preserve">. </w:t>
      </w:r>
      <w:r w:rsidRPr="00CB0B61">
        <w:rPr>
          <w:rStyle w:val="citation-217"/>
          <w:sz w:val="22"/>
          <w:szCs w:val="22"/>
        </w:rPr>
        <w:t>Severe injuries (grades 3 and 4) were less frequent</w:t>
      </w:r>
      <w:r w:rsidR="00A84E92" w:rsidRPr="00CB0B61">
        <w:rPr>
          <w:color w:val="1B1C1D"/>
          <w:sz w:val="22"/>
          <w:szCs w:val="22"/>
        </w:rPr>
        <w:t xml:space="preserve">. </w:t>
      </w:r>
    </w:p>
    <w:p w:rsidR="00BF7EFC" w:rsidRDefault="00BF7EFC">
      <w:pPr>
        <w:rPr>
          <w:rFonts w:ascii="Times New Roman" w:eastAsia="Times New Roman" w:hAnsi="Times New Roman" w:cs="Times New Roman"/>
          <w:b/>
        </w:rPr>
      </w:pPr>
      <w:r>
        <w:rPr>
          <w:b/>
        </w:rPr>
        <w:br w:type="page"/>
      </w:r>
    </w:p>
    <w:p w:rsidR="00EB23B9" w:rsidRPr="00CB0B61" w:rsidRDefault="00566F5B" w:rsidP="00B06B8E">
      <w:pPr>
        <w:pStyle w:val="NormalWeb"/>
        <w:spacing w:before="0" w:beforeAutospacing="0" w:after="0" w:afterAutospacing="0" w:line="312" w:lineRule="auto"/>
        <w:jc w:val="center"/>
        <w:rPr>
          <w:b/>
          <w:color w:val="1B1C1D"/>
          <w:sz w:val="22"/>
          <w:szCs w:val="22"/>
        </w:rPr>
      </w:pPr>
      <w:r w:rsidRPr="00CB0B61">
        <w:rPr>
          <w:b/>
          <w:sz w:val="22"/>
          <w:szCs w:val="22"/>
        </w:rPr>
        <w:lastRenderedPageBreak/>
        <w:t xml:space="preserve">Table 2. Common </w:t>
      </w:r>
      <w:r w:rsidR="00665F36">
        <w:rPr>
          <w:b/>
          <w:sz w:val="22"/>
          <w:szCs w:val="22"/>
        </w:rPr>
        <w:t>c</w:t>
      </w:r>
      <w:r w:rsidRPr="00CB0B61">
        <w:rPr>
          <w:b/>
          <w:sz w:val="22"/>
          <w:szCs w:val="22"/>
        </w:rPr>
        <w:t xml:space="preserve">linical </w:t>
      </w:r>
      <w:r w:rsidR="00665F36">
        <w:rPr>
          <w:b/>
          <w:sz w:val="22"/>
          <w:szCs w:val="22"/>
        </w:rPr>
        <w:t>s</w:t>
      </w:r>
      <w:r w:rsidRPr="00CB0B61">
        <w:rPr>
          <w:b/>
          <w:sz w:val="22"/>
          <w:szCs w:val="22"/>
        </w:rPr>
        <w:t xml:space="preserve">ymptoms in </w:t>
      </w:r>
      <w:r w:rsidR="00665F36">
        <w:rPr>
          <w:b/>
          <w:sz w:val="22"/>
          <w:szCs w:val="22"/>
        </w:rPr>
        <w:t>p</w:t>
      </w:r>
      <w:r w:rsidRPr="00CB0B61">
        <w:rPr>
          <w:b/>
          <w:sz w:val="22"/>
          <w:szCs w:val="22"/>
        </w:rPr>
        <w:t xml:space="preserve">atients with </w:t>
      </w:r>
      <w:r w:rsidR="00665F36">
        <w:rPr>
          <w:b/>
          <w:sz w:val="22"/>
          <w:szCs w:val="22"/>
        </w:rPr>
        <w:t>i</w:t>
      </w:r>
      <w:r w:rsidRPr="00CB0B61">
        <w:rPr>
          <w:b/>
          <w:sz w:val="22"/>
          <w:szCs w:val="22"/>
        </w:rPr>
        <w:t xml:space="preserve">nhalation </w:t>
      </w:r>
      <w:r w:rsidR="00665F36">
        <w:rPr>
          <w:b/>
          <w:sz w:val="22"/>
          <w:szCs w:val="22"/>
        </w:rPr>
        <w:t>i</w:t>
      </w:r>
      <w:r w:rsidRPr="00CB0B61">
        <w:rPr>
          <w:b/>
          <w:sz w:val="22"/>
          <w:szCs w:val="22"/>
        </w:rPr>
        <w:t>njury (n=76)</w:t>
      </w:r>
    </w:p>
    <w:tbl>
      <w:tblPr>
        <w:tblStyle w:val="TableGrid"/>
        <w:tblW w:w="0" w:type="auto"/>
        <w:tblLook w:val="04A0" w:firstRow="1" w:lastRow="0" w:firstColumn="1" w:lastColumn="0" w:noHBand="0" w:noVBand="1"/>
      </w:tblPr>
      <w:tblGrid>
        <w:gridCol w:w="3425"/>
        <w:gridCol w:w="1149"/>
        <w:gridCol w:w="1567"/>
      </w:tblGrid>
      <w:tr w:rsidR="00EB23B9" w:rsidRPr="00CB0B61" w:rsidTr="00566F5B">
        <w:tc>
          <w:tcPr>
            <w:tcW w:w="5575" w:type="dxa"/>
            <w:hideMark/>
          </w:tcPr>
          <w:p w:rsidR="00EB23B9" w:rsidRPr="00CB0B61" w:rsidRDefault="00566F5B" w:rsidP="00BF7EFC">
            <w:pPr>
              <w:spacing w:before="60" w:line="312" w:lineRule="auto"/>
              <w:jc w:val="both"/>
              <w:rPr>
                <w:rFonts w:ascii="Times New Roman" w:hAnsi="Times New Roman" w:cs="Times New Roman"/>
                <w:b/>
                <w:color w:val="1B1C1D"/>
              </w:rPr>
            </w:pPr>
            <w:r w:rsidRPr="00CB0B61">
              <w:rPr>
                <w:rFonts w:ascii="Times New Roman" w:hAnsi="Times New Roman" w:cs="Times New Roman"/>
                <w:b/>
              </w:rPr>
              <w:t>Symptom</w:t>
            </w:r>
          </w:p>
        </w:tc>
        <w:tc>
          <w:tcPr>
            <w:tcW w:w="1530" w:type="dxa"/>
            <w:hideMark/>
          </w:tcPr>
          <w:p w:rsidR="00EB23B9" w:rsidRPr="00CB0B61" w:rsidRDefault="00566F5B" w:rsidP="00BF7EFC">
            <w:pPr>
              <w:spacing w:before="60" w:line="312" w:lineRule="auto"/>
              <w:jc w:val="center"/>
              <w:rPr>
                <w:rFonts w:ascii="Times New Roman" w:hAnsi="Times New Roman" w:cs="Times New Roman"/>
                <w:b/>
                <w:color w:val="1B1C1D"/>
              </w:rPr>
            </w:pPr>
            <w:r w:rsidRPr="00CB0B61">
              <w:rPr>
                <w:rFonts w:ascii="Times New Roman" w:hAnsi="Times New Roman" w:cs="Times New Roman"/>
                <w:b/>
              </w:rPr>
              <w:t>Count</w:t>
            </w:r>
          </w:p>
        </w:tc>
        <w:tc>
          <w:tcPr>
            <w:tcW w:w="1911" w:type="dxa"/>
            <w:hideMark/>
          </w:tcPr>
          <w:p w:rsidR="00EB23B9" w:rsidRPr="00CB0B61" w:rsidRDefault="00566F5B" w:rsidP="00BF7EFC">
            <w:pPr>
              <w:spacing w:before="60" w:line="312" w:lineRule="auto"/>
              <w:jc w:val="center"/>
              <w:rPr>
                <w:rFonts w:ascii="Times New Roman" w:hAnsi="Times New Roman" w:cs="Times New Roman"/>
                <w:b/>
                <w:color w:val="1B1C1D"/>
              </w:rPr>
            </w:pPr>
            <w:r w:rsidRPr="00CB0B61">
              <w:rPr>
                <w:rFonts w:ascii="Times New Roman" w:hAnsi="Times New Roman" w:cs="Times New Roman"/>
                <w:b/>
              </w:rPr>
              <w:t>Percentage %</w:t>
            </w:r>
          </w:p>
        </w:tc>
      </w:tr>
      <w:tr w:rsidR="00EB23B9" w:rsidRPr="00CB0B61" w:rsidTr="00566F5B">
        <w:tc>
          <w:tcPr>
            <w:tcW w:w="5575" w:type="dxa"/>
            <w:hideMark/>
          </w:tcPr>
          <w:p w:rsidR="00EB23B9" w:rsidRPr="00CB0B61" w:rsidRDefault="00EB23B9" w:rsidP="00BF7EFC">
            <w:pPr>
              <w:spacing w:before="60" w:line="312" w:lineRule="auto"/>
              <w:jc w:val="both"/>
              <w:rPr>
                <w:rFonts w:ascii="Times New Roman" w:hAnsi="Times New Roman" w:cs="Times New Roman"/>
                <w:color w:val="1B1C1D"/>
              </w:rPr>
            </w:pPr>
            <w:r w:rsidRPr="00CB0B61">
              <w:rPr>
                <w:rFonts w:ascii="Times New Roman" w:hAnsi="Times New Roman" w:cs="Times New Roman"/>
                <w:color w:val="1B1C1D"/>
              </w:rPr>
              <w:t xml:space="preserve">1. </w:t>
            </w:r>
            <w:r w:rsidR="00566F5B" w:rsidRPr="00CB0B61">
              <w:rPr>
                <w:rFonts w:ascii="Times New Roman" w:hAnsi="Times New Roman" w:cs="Times New Roman"/>
              </w:rPr>
              <w:t>Burn circumstance: fire in an enclosed space</w:t>
            </w:r>
          </w:p>
        </w:tc>
        <w:tc>
          <w:tcPr>
            <w:tcW w:w="1530"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51</w:t>
            </w:r>
          </w:p>
        </w:tc>
        <w:tc>
          <w:tcPr>
            <w:tcW w:w="1911"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67,1</w:t>
            </w:r>
          </w:p>
        </w:tc>
      </w:tr>
      <w:tr w:rsidR="00EB23B9" w:rsidRPr="00CB0B61" w:rsidTr="00566F5B">
        <w:tc>
          <w:tcPr>
            <w:tcW w:w="5575" w:type="dxa"/>
            <w:hideMark/>
          </w:tcPr>
          <w:p w:rsidR="00EB23B9" w:rsidRPr="00CB0B61" w:rsidRDefault="00EB23B9" w:rsidP="00BF7EFC">
            <w:pPr>
              <w:spacing w:before="60" w:line="312" w:lineRule="auto"/>
              <w:jc w:val="both"/>
              <w:rPr>
                <w:rFonts w:ascii="Times New Roman" w:hAnsi="Times New Roman" w:cs="Times New Roman"/>
                <w:color w:val="1B1C1D"/>
              </w:rPr>
            </w:pPr>
            <w:r w:rsidRPr="00CB0B61">
              <w:rPr>
                <w:rFonts w:ascii="Times New Roman" w:hAnsi="Times New Roman" w:cs="Times New Roman"/>
                <w:color w:val="1B1C1D"/>
              </w:rPr>
              <w:t xml:space="preserve">2. </w:t>
            </w:r>
            <w:r w:rsidR="00566F5B" w:rsidRPr="00CB0B61">
              <w:rPr>
                <w:rFonts w:ascii="Times New Roman" w:hAnsi="Times New Roman" w:cs="Times New Roman"/>
              </w:rPr>
              <w:t>Hoarseness</w:t>
            </w:r>
          </w:p>
        </w:tc>
        <w:tc>
          <w:tcPr>
            <w:tcW w:w="1530"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62</w:t>
            </w:r>
          </w:p>
        </w:tc>
        <w:tc>
          <w:tcPr>
            <w:tcW w:w="1911"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81,6</w:t>
            </w:r>
          </w:p>
        </w:tc>
      </w:tr>
      <w:tr w:rsidR="00EB23B9" w:rsidRPr="00CB0B61" w:rsidTr="00566F5B">
        <w:tc>
          <w:tcPr>
            <w:tcW w:w="5575" w:type="dxa"/>
            <w:hideMark/>
          </w:tcPr>
          <w:p w:rsidR="00EB23B9" w:rsidRPr="00CB0B61" w:rsidRDefault="00EB23B9" w:rsidP="00BF7EFC">
            <w:pPr>
              <w:spacing w:before="60" w:line="312" w:lineRule="auto"/>
              <w:jc w:val="both"/>
              <w:rPr>
                <w:rFonts w:ascii="Times New Roman" w:hAnsi="Times New Roman" w:cs="Times New Roman"/>
                <w:color w:val="1B1C1D"/>
              </w:rPr>
            </w:pPr>
            <w:r w:rsidRPr="00CB0B61">
              <w:rPr>
                <w:rFonts w:ascii="Times New Roman" w:hAnsi="Times New Roman" w:cs="Times New Roman"/>
                <w:color w:val="1B1C1D"/>
              </w:rPr>
              <w:t xml:space="preserve">3. </w:t>
            </w:r>
            <w:r w:rsidR="00566F5B" w:rsidRPr="00CB0B61">
              <w:rPr>
                <w:rFonts w:ascii="Times New Roman" w:hAnsi="Times New Roman" w:cs="Times New Roman"/>
              </w:rPr>
              <w:t>Dyspnea</w:t>
            </w:r>
          </w:p>
        </w:tc>
        <w:tc>
          <w:tcPr>
            <w:tcW w:w="1530"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52</w:t>
            </w:r>
          </w:p>
        </w:tc>
        <w:tc>
          <w:tcPr>
            <w:tcW w:w="1911"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68,4</w:t>
            </w:r>
          </w:p>
        </w:tc>
      </w:tr>
      <w:tr w:rsidR="00EB23B9" w:rsidRPr="00CB0B61" w:rsidTr="00566F5B">
        <w:tc>
          <w:tcPr>
            <w:tcW w:w="5575" w:type="dxa"/>
            <w:hideMark/>
          </w:tcPr>
          <w:p w:rsidR="00EB23B9" w:rsidRPr="00CB0B61" w:rsidRDefault="00EB23B9" w:rsidP="00BF7EFC">
            <w:pPr>
              <w:spacing w:before="60" w:line="312" w:lineRule="auto"/>
              <w:jc w:val="both"/>
              <w:rPr>
                <w:rFonts w:ascii="Times New Roman" w:hAnsi="Times New Roman" w:cs="Times New Roman"/>
                <w:color w:val="1B1C1D"/>
              </w:rPr>
            </w:pPr>
            <w:r w:rsidRPr="00CB0B61">
              <w:rPr>
                <w:rFonts w:ascii="Times New Roman" w:hAnsi="Times New Roman" w:cs="Times New Roman"/>
                <w:color w:val="1B1C1D"/>
              </w:rPr>
              <w:t xml:space="preserve">4. </w:t>
            </w:r>
            <w:r w:rsidR="00566F5B" w:rsidRPr="00CB0B61">
              <w:rPr>
                <w:rFonts w:ascii="Times New Roman" w:hAnsi="Times New Roman" w:cs="Times New Roman"/>
              </w:rPr>
              <w:t>Tachypnea, wheezing</w:t>
            </w:r>
          </w:p>
        </w:tc>
        <w:tc>
          <w:tcPr>
            <w:tcW w:w="1530"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62</w:t>
            </w:r>
          </w:p>
        </w:tc>
        <w:tc>
          <w:tcPr>
            <w:tcW w:w="1911"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81,6</w:t>
            </w:r>
          </w:p>
        </w:tc>
      </w:tr>
      <w:tr w:rsidR="00EB23B9" w:rsidRPr="00CB0B61" w:rsidTr="00566F5B">
        <w:tc>
          <w:tcPr>
            <w:tcW w:w="5575" w:type="dxa"/>
            <w:hideMark/>
          </w:tcPr>
          <w:p w:rsidR="00EB23B9" w:rsidRPr="00CB0B61" w:rsidRDefault="00EB23B9" w:rsidP="00BF7EFC">
            <w:pPr>
              <w:spacing w:before="60" w:line="312" w:lineRule="auto"/>
              <w:jc w:val="both"/>
              <w:rPr>
                <w:rFonts w:ascii="Times New Roman" w:hAnsi="Times New Roman" w:cs="Times New Roman"/>
                <w:color w:val="1B1C1D"/>
              </w:rPr>
            </w:pPr>
            <w:r w:rsidRPr="00CB0B61">
              <w:rPr>
                <w:rFonts w:ascii="Times New Roman" w:hAnsi="Times New Roman" w:cs="Times New Roman"/>
                <w:color w:val="1B1C1D"/>
              </w:rPr>
              <w:t xml:space="preserve">5. </w:t>
            </w:r>
            <w:r w:rsidR="00566F5B" w:rsidRPr="00CB0B61">
              <w:rPr>
                <w:rFonts w:ascii="Times New Roman" w:hAnsi="Times New Roman" w:cs="Times New Roman"/>
              </w:rPr>
              <w:t>Agitation, anxiety</w:t>
            </w:r>
          </w:p>
        </w:tc>
        <w:tc>
          <w:tcPr>
            <w:tcW w:w="1530"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42</w:t>
            </w:r>
          </w:p>
        </w:tc>
        <w:tc>
          <w:tcPr>
            <w:tcW w:w="1911"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56,0</w:t>
            </w:r>
          </w:p>
        </w:tc>
      </w:tr>
      <w:tr w:rsidR="00EB23B9" w:rsidRPr="00CB0B61" w:rsidTr="00566F5B">
        <w:tc>
          <w:tcPr>
            <w:tcW w:w="5575" w:type="dxa"/>
            <w:hideMark/>
          </w:tcPr>
          <w:p w:rsidR="00EB23B9" w:rsidRPr="00CB0B61" w:rsidRDefault="00EB23B9" w:rsidP="00BF7EFC">
            <w:pPr>
              <w:spacing w:before="60" w:line="312" w:lineRule="auto"/>
              <w:jc w:val="both"/>
              <w:rPr>
                <w:rFonts w:ascii="Times New Roman" w:hAnsi="Times New Roman" w:cs="Times New Roman"/>
                <w:color w:val="1B1C1D"/>
              </w:rPr>
            </w:pPr>
            <w:r w:rsidRPr="00CB0B61">
              <w:rPr>
                <w:rFonts w:ascii="Times New Roman" w:hAnsi="Times New Roman" w:cs="Times New Roman"/>
                <w:color w:val="1B1C1D"/>
              </w:rPr>
              <w:t xml:space="preserve">6. </w:t>
            </w:r>
            <w:r w:rsidR="00566F5B" w:rsidRPr="00CB0B61">
              <w:rPr>
                <w:rFonts w:ascii="Times New Roman" w:hAnsi="Times New Roman" w:cs="Times New Roman"/>
              </w:rPr>
              <w:t>Carbonaceous sputum</w:t>
            </w:r>
          </w:p>
        </w:tc>
        <w:tc>
          <w:tcPr>
            <w:tcW w:w="1530"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45</w:t>
            </w:r>
          </w:p>
        </w:tc>
        <w:tc>
          <w:tcPr>
            <w:tcW w:w="1911"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59,2</w:t>
            </w:r>
          </w:p>
        </w:tc>
      </w:tr>
      <w:tr w:rsidR="00EB23B9" w:rsidRPr="00CB0B61" w:rsidTr="00566F5B">
        <w:tc>
          <w:tcPr>
            <w:tcW w:w="5575" w:type="dxa"/>
            <w:hideMark/>
          </w:tcPr>
          <w:p w:rsidR="00EB23B9" w:rsidRPr="00CB0B61" w:rsidRDefault="00EB23B9" w:rsidP="00BF7EFC">
            <w:pPr>
              <w:spacing w:before="60" w:line="312" w:lineRule="auto"/>
              <w:jc w:val="both"/>
              <w:rPr>
                <w:rFonts w:ascii="Times New Roman" w:hAnsi="Times New Roman" w:cs="Times New Roman"/>
                <w:color w:val="1B1C1D"/>
              </w:rPr>
            </w:pPr>
            <w:r w:rsidRPr="00CB0B61">
              <w:rPr>
                <w:rFonts w:ascii="Times New Roman" w:hAnsi="Times New Roman" w:cs="Times New Roman"/>
                <w:color w:val="1B1C1D"/>
              </w:rPr>
              <w:t xml:space="preserve">7. </w:t>
            </w:r>
            <w:r w:rsidR="00566F5B" w:rsidRPr="00CB0B61">
              <w:rPr>
                <w:rFonts w:ascii="Times New Roman" w:hAnsi="Times New Roman" w:cs="Times New Roman"/>
              </w:rPr>
              <w:t>Facial burns</w:t>
            </w:r>
          </w:p>
        </w:tc>
        <w:tc>
          <w:tcPr>
            <w:tcW w:w="1530"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76</w:t>
            </w:r>
          </w:p>
        </w:tc>
        <w:tc>
          <w:tcPr>
            <w:tcW w:w="1911"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100</w:t>
            </w:r>
          </w:p>
        </w:tc>
      </w:tr>
      <w:tr w:rsidR="00EB23B9" w:rsidRPr="00CB0B61" w:rsidTr="00566F5B">
        <w:tc>
          <w:tcPr>
            <w:tcW w:w="5575" w:type="dxa"/>
            <w:hideMark/>
          </w:tcPr>
          <w:p w:rsidR="00EB23B9" w:rsidRPr="00CB0B61" w:rsidRDefault="00EB23B9" w:rsidP="00BF7EFC">
            <w:pPr>
              <w:spacing w:before="60" w:line="312" w:lineRule="auto"/>
              <w:jc w:val="both"/>
              <w:rPr>
                <w:rFonts w:ascii="Times New Roman" w:hAnsi="Times New Roman" w:cs="Times New Roman"/>
                <w:color w:val="1B1C1D"/>
              </w:rPr>
            </w:pPr>
            <w:r w:rsidRPr="00CB0B61">
              <w:rPr>
                <w:rFonts w:ascii="Times New Roman" w:hAnsi="Times New Roman" w:cs="Times New Roman"/>
                <w:color w:val="1B1C1D"/>
              </w:rPr>
              <w:t xml:space="preserve">8. </w:t>
            </w:r>
            <w:r w:rsidR="00566F5B" w:rsidRPr="00CB0B61">
              <w:rPr>
                <w:rFonts w:ascii="Times New Roman" w:hAnsi="Times New Roman" w:cs="Times New Roman"/>
              </w:rPr>
              <w:t>Singed nasal hairs</w:t>
            </w:r>
          </w:p>
        </w:tc>
        <w:tc>
          <w:tcPr>
            <w:tcW w:w="1530"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71</w:t>
            </w:r>
          </w:p>
        </w:tc>
        <w:tc>
          <w:tcPr>
            <w:tcW w:w="1911"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93,4</w:t>
            </w:r>
          </w:p>
        </w:tc>
      </w:tr>
      <w:tr w:rsidR="00EB23B9" w:rsidRPr="00CB0B61" w:rsidTr="00566F5B">
        <w:tc>
          <w:tcPr>
            <w:tcW w:w="5575" w:type="dxa"/>
            <w:hideMark/>
          </w:tcPr>
          <w:p w:rsidR="00EB23B9" w:rsidRPr="00CB0B61" w:rsidRDefault="00EB23B9" w:rsidP="00BF7EFC">
            <w:pPr>
              <w:spacing w:before="60" w:line="312" w:lineRule="auto"/>
              <w:jc w:val="both"/>
              <w:rPr>
                <w:rFonts w:ascii="Times New Roman" w:hAnsi="Times New Roman" w:cs="Times New Roman"/>
                <w:color w:val="1B1C1D"/>
              </w:rPr>
            </w:pPr>
            <w:r w:rsidRPr="00CB0B61">
              <w:rPr>
                <w:rFonts w:ascii="Times New Roman" w:hAnsi="Times New Roman" w:cs="Times New Roman"/>
                <w:color w:val="1B1C1D"/>
              </w:rPr>
              <w:t xml:space="preserve">9. </w:t>
            </w:r>
            <w:r w:rsidR="00566F5B" w:rsidRPr="00CB0B61">
              <w:rPr>
                <w:rFonts w:ascii="Times New Roman" w:hAnsi="Times New Roman" w:cs="Times New Roman"/>
              </w:rPr>
              <w:t>Pharyngeal edema and hyperemia</w:t>
            </w:r>
          </w:p>
        </w:tc>
        <w:tc>
          <w:tcPr>
            <w:tcW w:w="1530"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69</w:t>
            </w:r>
          </w:p>
        </w:tc>
        <w:tc>
          <w:tcPr>
            <w:tcW w:w="1911"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90,8</w:t>
            </w:r>
          </w:p>
        </w:tc>
      </w:tr>
      <w:tr w:rsidR="00EB23B9" w:rsidRPr="00CB0B61" w:rsidTr="00566F5B">
        <w:tc>
          <w:tcPr>
            <w:tcW w:w="5575" w:type="dxa"/>
            <w:hideMark/>
          </w:tcPr>
          <w:p w:rsidR="00EB23B9" w:rsidRPr="00CB0B61" w:rsidRDefault="00EB23B9" w:rsidP="00BF7EFC">
            <w:pPr>
              <w:spacing w:before="60" w:line="312" w:lineRule="auto"/>
              <w:jc w:val="both"/>
              <w:rPr>
                <w:rFonts w:ascii="Times New Roman" w:hAnsi="Times New Roman" w:cs="Times New Roman"/>
                <w:color w:val="1B1C1D"/>
              </w:rPr>
            </w:pPr>
            <w:r w:rsidRPr="00CB0B61">
              <w:rPr>
                <w:rFonts w:ascii="Times New Roman" w:hAnsi="Times New Roman" w:cs="Times New Roman"/>
                <w:color w:val="1B1C1D"/>
              </w:rPr>
              <w:t xml:space="preserve">10. </w:t>
            </w:r>
            <w:r w:rsidR="00566F5B" w:rsidRPr="00CB0B61">
              <w:rPr>
                <w:rFonts w:ascii="Times New Roman" w:hAnsi="Times New Roman" w:cs="Times New Roman"/>
              </w:rPr>
              <w:t>Disorientation</w:t>
            </w:r>
          </w:p>
        </w:tc>
        <w:tc>
          <w:tcPr>
            <w:tcW w:w="1530"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34</w:t>
            </w:r>
          </w:p>
        </w:tc>
        <w:tc>
          <w:tcPr>
            <w:tcW w:w="1911"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44,7</w:t>
            </w:r>
          </w:p>
        </w:tc>
      </w:tr>
      <w:tr w:rsidR="00EB23B9" w:rsidRPr="00CB0B61" w:rsidTr="00566F5B">
        <w:tc>
          <w:tcPr>
            <w:tcW w:w="5575" w:type="dxa"/>
            <w:hideMark/>
          </w:tcPr>
          <w:p w:rsidR="00EB23B9" w:rsidRPr="00CB0B61" w:rsidRDefault="00EB23B9" w:rsidP="00BF7EFC">
            <w:pPr>
              <w:spacing w:before="60" w:line="312" w:lineRule="auto"/>
              <w:jc w:val="both"/>
              <w:rPr>
                <w:rFonts w:ascii="Times New Roman" w:hAnsi="Times New Roman" w:cs="Times New Roman"/>
                <w:color w:val="1B1C1D"/>
              </w:rPr>
            </w:pPr>
            <w:r w:rsidRPr="00CB0B61">
              <w:rPr>
                <w:rFonts w:ascii="Times New Roman" w:hAnsi="Times New Roman" w:cs="Times New Roman"/>
                <w:color w:val="1B1C1D"/>
              </w:rPr>
              <w:t xml:space="preserve">11. </w:t>
            </w:r>
            <w:r w:rsidR="00566F5B" w:rsidRPr="00CB0B61">
              <w:rPr>
                <w:rFonts w:ascii="Times New Roman" w:hAnsi="Times New Roman" w:cs="Times New Roman"/>
              </w:rPr>
              <w:t>Coma</w:t>
            </w:r>
          </w:p>
        </w:tc>
        <w:tc>
          <w:tcPr>
            <w:tcW w:w="1530"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1</w:t>
            </w:r>
          </w:p>
        </w:tc>
        <w:tc>
          <w:tcPr>
            <w:tcW w:w="1911"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1,3</w:t>
            </w:r>
          </w:p>
        </w:tc>
      </w:tr>
      <w:tr w:rsidR="00631178" w:rsidRPr="00CB0B61" w:rsidTr="00566F5B">
        <w:tc>
          <w:tcPr>
            <w:tcW w:w="5575" w:type="dxa"/>
            <w:hideMark/>
          </w:tcPr>
          <w:p w:rsidR="00631178" w:rsidRPr="00CB0B61" w:rsidRDefault="00566F5B" w:rsidP="00BF7EFC">
            <w:pPr>
              <w:spacing w:before="60" w:line="312" w:lineRule="auto"/>
              <w:jc w:val="both"/>
              <w:rPr>
                <w:rFonts w:ascii="Times New Roman" w:hAnsi="Times New Roman" w:cs="Times New Roman"/>
                <w:color w:val="1B1C1D"/>
              </w:rPr>
            </w:pPr>
            <w:r w:rsidRPr="00CB0B61">
              <w:rPr>
                <w:rFonts w:ascii="Times New Roman" w:hAnsi="Times New Roman" w:cs="Times New Roman"/>
              </w:rPr>
              <w:t>Number of symptoms, median (IQR)</w:t>
            </w:r>
          </w:p>
        </w:tc>
        <w:tc>
          <w:tcPr>
            <w:tcW w:w="3441" w:type="dxa"/>
            <w:gridSpan w:val="2"/>
            <w:hideMark/>
          </w:tcPr>
          <w:p w:rsidR="00631178" w:rsidRPr="00CB0B61" w:rsidRDefault="00631178" w:rsidP="00BF7EFC">
            <w:pPr>
              <w:spacing w:before="60" w:line="312" w:lineRule="auto"/>
              <w:jc w:val="center"/>
              <w:rPr>
                <w:rFonts w:ascii="Times New Roman" w:hAnsi="Times New Roman" w:cs="Times New Roman"/>
                <w:color w:val="1B1C1D"/>
              </w:rPr>
            </w:pPr>
            <w:r w:rsidRPr="00CB0B61">
              <w:rPr>
                <w:rFonts w:ascii="Times New Roman" w:hAnsi="Times New Roman" w:cs="Times New Roman"/>
                <w:bCs/>
                <w:color w:val="1B1C1D"/>
                <w:bdr w:val="none" w:sz="0" w:space="0" w:color="auto" w:frame="1"/>
              </w:rPr>
              <w:t>8 (6 – 8)</w:t>
            </w:r>
          </w:p>
        </w:tc>
      </w:tr>
    </w:tbl>
    <w:p w:rsidR="00A84E92" w:rsidRPr="00CB0B61" w:rsidRDefault="00566F5B" w:rsidP="00B06B8E">
      <w:pPr>
        <w:pStyle w:val="NormalWeb"/>
        <w:spacing w:before="0" w:beforeAutospacing="0" w:after="0" w:afterAutospacing="0" w:line="312" w:lineRule="auto"/>
        <w:ind w:firstLine="454"/>
        <w:jc w:val="both"/>
        <w:rPr>
          <w:color w:val="1B1C1D"/>
          <w:sz w:val="22"/>
          <w:szCs w:val="22"/>
        </w:rPr>
      </w:pPr>
      <w:r w:rsidRPr="00CB0B61">
        <w:rPr>
          <w:rStyle w:val="citation-215"/>
          <w:sz w:val="22"/>
          <w:szCs w:val="22"/>
        </w:rPr>
        <w:t>Patients typically presented with multiple clinical symptoms (median of 8)</w:t>
      </w:r>
      <w:r w:rsidRPr="00CB0B61">
        <w:rPr>
          <w:sz w:val="22"/>
          <w:szCs w:val="22"/>
        </w:rPr>
        <w:t xml:space="preserve">. </w:t>
      </w:r>
      <w:r w:rsidRPr="00CB0B61">
        <w:rPr>
          <w:rStyle w:val="citation-214"/>
          <w:sz w:val="22"/>
          <w:szCs w:val="22"/>
        </w:rPr>
        <w:t>The most typical and easily identifiable signs included facial burns (100%), singed nasal hairs (93.4%), pharyngeal edema (90.8%), hoarseness, and tachypnea (81.6%)</w:t>
      </w:r>
      <w:r w:rsidR="00EB23B9" w:rsidRPr="00CB0B61">
        <w:rPr>
          <w:color w:val="1B1C1D"/>
          <w:sz w:val="22"/>
          <w:szCs w:val="22"/>
        </w:rPr>
        <w:t>.</w:t>
      </w:r>
    </w:p>
    <w:p w:rsidR="00BF7EFC" w:rsidRDefault="00BF7EFC">
      <w:pPr>
        <w:rPr>
          <w:rFonts w:ascii="Times New Roman" w:eastAsia="Times New Roman" w:hAnsi="Times New Roman" w:cs="Times New Roman"/>
          <w:b/>
        </w:rPr>
      </w:pPr>
      <w:r>
        <w:rPr>
          <w:b/>
        </w:rPr>
        <w:br w:type="page"/>
      </w:r>
    </w:p>
    <w:p w:rsidR="00EB23B9" w:rsidRPr="00CB0B61" w:rsidRDefault="00566F5B" w:rsidP="00B06B8E">
      <w:pPr>
        <w:pStyle w:val="NormalWeb"/>
        <w:spacing w:before="0" w:beforeAutospacing="0" w:after="0" w:afterAutospacing="0" w:line="312" w:lineRule="auto"/>
        <w:jc w:val="center"/>
        <w:rPr>
          <w:b/>
          <w:color w:val="1B1C1D"/>
          <w:sz w:val="22"/>
          <w:szCs w:val="22"/>
        </w:rPr>
      </w:pPr>
      <w:r w:rsidRPr="00CB0B61">
        <w:rPr>
          <w:b/>
          <w:sz w:val="22"/>
          <w:szCs w:val="22"/>
        </w:rPr>
        <w:lastRenderedPageBreak/>
        <w:t xml:space="preserve">Table 3. Correlation between the </w:t>
      </w:r>
      <w:r w:rsidR="00665F36">
        <w:rPr>
          <w:b/>
          <w:sz w:val="22"/>
          <w:szCs w:val="22"/>
        </w:rPr>
        <w:t>n</w:t>
      </w:r>
      <w:r w:rsidRPr="00CB0B61">
        <w:rPr>
          <w:b/>
          <w:sz w:val="22"/>
          <w:szCs w:val="22"/>
        </w:rPr>
        <w:t xml:space="preserve">umber of </w:t>
      </w:r>
      <w:r w:rsidR="00665F36">
        <w:rPr>
          <w:b/>
          <w:sz w:val="22"/>
          <w:szCs w:val="22"/>
        </w:rPr>
        <w:t>s</w:t>
      </w:r>
      <w:r w:rsidRPr="00CB0B61">
        <w:rPr>
          <w:b/>
          <w:sz w:val="22"/>
          <w:szCs w:val="22"/>
        </w:rPr>
        <w:t xml:space="preserve">ymptoms and </w:t>
      </w:r>
      <w:r w:rsidR="00665F36">
        <w:rPr>
          <w:b/>
          <w:sz w:val="22"/>
          <w:szCs w:val="22"/>
        </w:rPr>
        <w:t>s</w:t>
      </w:r>
      <w:r w:rsidRPr="00CB0B61">
        <w:rPr>
          <w:b/>
          <w:sz w:val="22"/>
          <w:szCs w:val="22"/>
        </w:rPr>
        <w:t>everity</w:t>
      </w:r>
    </w:p>
    <w:tbl>
      <w:tblPr>
        <w:tblW w:w="67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38"/>
        <w:gridCol w:w="638"/>
        <w:gridCol w:w="1604"/>
        <w:gridCol w:w="812"/>
        <w:gridCol w:w="690"/>
        <w:gridCol w:w="1216"/>
        <w:gridCol w:w="836"/>
      </w:tblGrid>
      <w:tr w:rsidR="00631178" w:rsidRPr="00CB0B61" w:rsidTr="00BF7EFC">
        <w:trPr>
          <w:jc w:val="center"/>
        </w:trPr>
        <w:tc>
          <w:tcPr>
            <w:tcW w:w="938" w:type="dxa"/>
            <w:vAlign w:val="center"/>
          </w:tcPr>
          <w:p w:rsidR="00631178" w:rsidRPr="00CB0B61" w:rsidRDefault="00631178" w:rsidP="00BF7EFC">
            <w:pPr>
              <w:spacing w:before="60" w:after="0" w:line="312" w:lineRule="auto"/>
              <w:rPr>
                <w:rFonts w:ascii="Times New Roman" w:hAnsi="Times New Roman" w:cs="Times New Roman"/>
                <w:b/>
                <w:bCs/>
                <w:color w:val="000000" w:themeColor="text1"/>
              </w:rPr>
            </w:pPr>
          </w:p>
        </w:tc>
        <w:tc>
          <w:tcPr>
            <w:tcW w:w="638" w:type="dxa"/>
            <w:vAlign w:val="center"/>
          </w:tcPr>
          <w:p w:rsidR="00631178" w:rsidRPr="00CB0B61" w:rsidRDefault="00631178" w:rsidP="00BF7EFC">
            <w:pPr>
              <w:spacing w:before="60" w:after="0" w:line="312" w:lineRule="auto"/>
              <w:jc w:val="center"/>
              <w:rPr>
                <w:rFonts w:ascii="Times New Roman" w:hAnsi="Times New Roman" w:cs="Times New Roman"/>
                <w:b/>
                <w:bCs/>
                <w:color w:val="000000" w:themeColor="text1"/>
              </w:rPr>
            </w:pPr>
            <w:r w:rsidRPr="00CB0B61">
              <w:rPr>
                <w:rFonts w:ascii="Times New Roman" w:hAnsi="Times New Roman" w:cs="Times New Roman"/>
                <w:b/>
                <w:bCs/>
                <w:color w:val="000000" w:themeColor="text1"/>
              </w:rPr>
              <w:t>n</w:t>
            </w:r>
          </w:p>
        </w:tc>
        <w:tc>
          <w:tcPr>
            <w:tcW w:w="1604" w:type="dxa"/>
            <w:vAlign w:val="center"/>
          </w:tcPr>
          <w:p w:rsidR="00631178" w:rsidRPr="00CB0B61" w:rsidRDefault="00566F5B" w:rsidP="00BF7EFC">
            <w:pPr>
              <w:spacing w:before="60" w:after="0" w:line="312" w:lineRule="auto"/>
              <w:jc w:val="center"/>
              <w:rPr>
                <w:rFonts w:ascii="Times New Roman" w:hAnsi="Times New Roman" w:cs="Times New Roman"/>
                <w:b/>
                <w:bCs/>
                <w:color w:val="000000" w:themeColor="text1"/>
              </w:rPr>
            </w:pPr>
            <w:r w:rsidRPr="00CB0B61">
              <w:rPr>
                <w:rFonts w:ascii="Times New Roman" w:hAnsi="Times New Roman" w:cs="Times New Roman"/>
                <w:b/>
                <w:bCs/>
                <w:color w:val="000000" w:themeColor="text1"/>
              </w:rPr>
              <w:t>Median</w:t>
            </w:r>
            <w:r w:rsidR="00631178" w:rsidRPr="00CB0B61">
              <w:rPr>
                <w:rFonts w:ascii="Times New Roman" w:hAnsi="Times New Roman" w:cs="Times New Roman"/>
                <w:b/>
                <w:bCs/>
                <w:color w:val="000000" w:themeColor="text1"/>
              </w:rPr>
              <w:t xml:space="preserve"> (IQR)</w:t>
            </w:r>
          </w:p>
        </w:tc>
        <w:tc>
          <w:tcPr>
            <w:tcW w:w="812" w:type="dxa"/>
            <w:vAlign w:val="center"/>
          </w:tcPr>
          <w:p w:rsidR="00631178" w:rsidRPr="00CB0B61" w:rsidRDefault="00631178" w:rsidP="00BF7EFC">
            <w:pPr>
              <w:spacing w:before="60" w:after="0" w:line="312" w:lineRule="auto"/>
              <w:jc w:val="center"/>
              <w:rPr>
                <w:rFonts w:ascii="Times New Roman" w:hAnsi="Times New Roman" w:cs="Times New Roman"/>
                <w:b/>
                <w:bCs/>
                <w:color w:val="000000" w:themeColor="text1"/>
              </w:rPr>
            </w:pPr>
            <w:r w:rsidRPr="00CB0B61">
              <w:rPr>
                <w:rFonts w:ascii="Times New Roman" w:hAnsi="Times New Roman" w:cs="Times New Roman"/>
                <w:b/>
                <w:bCs/>
                <w:color w:val="000000" w:themeColor="text1"/>
              </w:rPr>
              <w:t>Coeff</w:t>
            </w:r>
          </w:p>
        </w:tc>
        <w:tc>
          <w:tcPr>
            <w:tcW w:w="690" w:type="dxa"/>
            <w:vAlign w:val="center"/>
          </w:tcPr>
          <w:p w:rsidR="00631178" w:rsidRPr="00CB0B61" w:rsidRDefault="00BF7EFC" w:rsidP="00BF7EFC">
            <w:pPr>
              <w:spacing w:before="60" w:after="0" w:line="312"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Rho</w:t>
            </w:r>
          </w:p>
        </w:tc>
        <w:tc>
          <w:tcPr>
            <w:tcW w:w="1216" w:type="dxa"/>
            <w:vAlign w:val="center"/>
          </w:tcPr>
          <w:p w:rsidR="00631178" w:rsidRPr="00CB0B61" w:rsidRDefault="00631178" w:rsidP="00BF7EFC">
            <w:pPr>
              <w:spacing w:before="60" w:after="0" w:line="312" w:lineRule="auto"/>
              <w:jc w:val="center"/>
              <w:rPr>
                <w:rFonts w:ascii="Times New Roman" w:hAnsi="Times New Roman" w:cs="Times New Roman"/>
                <w:b/>
                <w:bCs/>
                <w:color w:val="000000" w:themeColor="text1"/>
              </w:rPr>
            </w:pPr>
            <w:r w:rsidRPr="00CB0B61">
              <w:rPr>
                <w:rFonts w:ascii="Times New Roman" w:hAnsi="Times New Roman" w:cs="Times New Roman"/>
                <w:b/>
                <w:bCs/>
                <w:color w:val="000000" w:themeColor="text1"/>
              </w:rPr>
              <w:t>95% CI</w:t>
            </w:r>
          </w:p>
        </w:tc>
        <w:tc>
          <w:tcPr>
            <w:tcW w:w="836" w:type="dxa"/>
            <w:vAlign w:val="center"/>
          </w:tcPr>
          <w:p w:rsidR="00631178" w:rsidRPr="00CB0B61" w:rsidRDefault="00631178" w:rsidP="00BF7EFC">
            <w:pPr>
              <w:spacing w:before="60" w:after="0" w:line="312" w:lineRule="auto"/>
              <w:jc w:val="center"/>
              <w:rPr>
                <w:rFonts w:ascii="Times New Roman" w:hAnsi="Times New Roman" w:cs="Times New Roman"/>
                <w:b/>
                <w:bCs/>
                <w:color w:val="000000" w:themeColor="text1"/>
              </w:rPr>
            </w:pPr>
            <w:r w:rsidRPr="00CB0B61">
              <w:rPr>
                <w:rFonts w:ascii="Times New Roman" w:hAnsi="Times New Roman" w:cs="Times New Roman"/>
                <w:b/>
                <w:bCs/>
                <w:color w:val="000000" w:themeColor="text1"/>
              </w:rPr>
              <w:t>p</w:t>
            </w:r>
          </w:p>
        </w:tc>
      </w:tr>
      <w:tr w:rsidR="00631178" w:rsidRPr="00CB0B61" w:rsidTr="00BF7EFC">
        <w:trPr>
          <w:jc w:val="center"/>
        </w:trPr>
        <w:tc>
          <w:tcPr>
            <w:tcW w:w="938" w:type="dxa"/>
          </w:tcPr>
          <w:p w:rsidR="00631178" w:rsidRPr="00CB0B61" w:rsidRDefault="00566F5B" w:rsidP="00BF7EFC">
            <w:pPr>
              <w:spacing w:before="60" w:after="0" w:line="312" w:lineRule="auto"/>
              <w:rPr>
                <w:rFonts w:ascii="Times New Roman" w:hAnsi="Times New Roman" w:cs="Times New Roman"/>
                <w:bCs/>
                <w:color w:val="000000" w:themeColor="text1"/>
              </w:rPr>
            </w:pPr>
            <w:r w:rsidRPr="00CB0B61">
              <w:rPr>
                <w:rFonts w:ascii="Times New Roman" w:hAnsi="Times New Roman" w:cs="Times New Roman"/>
                <w:bCs/>
                <w:color w:val="000000" w:themeColor="text1"/>
              </w:rPr>
              <w:t>Grade</w:t>
            </w:r>
            <w:r w:rsidR="00631178" w:rsidRPr="00CB0B61">
              <w:rPr>
                <w:rFonts w:ascii="Times New Roman" w:hAnsi="Times New Roman" w:cs="Times New Roman"/>
                <w:bCs/>
                <w:color w:val="000000" w:themeColor="text1"/>
              </w:rPr>
              <w:t xml:space="preserve"> 1</w:t>
            </w:r>
          </w:p>
        </w:tc>
        <w:tc>
          <w:tcPr>
            <w:tcW w:w="638" w:type="dxa"/>
          </w:tcPr>
          <w:p w:rsidR="00631178" w:rsidRPr="00CB0B61" w:rsidRDefault="00631178" w:rsidP="00BF7EFC">
            <w:pPr>
              <w:spacing w:before="60" w:after="0" w:line="312" w:lineRule="auto"/>
              <w:jc w:val="center"/>
              <w:rPr>
                <w:rFonts w:ascii="Times New Roman" w:hAnsi="Times New Roman" w:cs="Times New Roman"/>
                <w:bCs/>
                <w:color w:val="000000" w:themeColor="text1"/>
              </w:rPr>
            </w:pPr>
            <w:r w:rsidRPr="00CB0B61">
              <w:rPr>
                <w:rFonts w:ascii="Times New Roman" w:hAnsi="Times New Roman" w:cs="Times New Roman"/>
                <w:bCs/>
                <w:color w:val="000000" w:themeColor="text1"/>
              </w:rPr>
              <w:t>19</w:t>
            </w:r>
          </w:p>
        </w:tc>
        <w:tc>
          <w:tcPr>
            <w:tcW w:w="1604" w:type="dxa"/>
          </w:tcPr>
          <w:p w:rsidR="00631178" w:rsidRPr="00CB0B61" w:rsidRDefault="00631178" w:rsidP="00BF7EFC">
            <w:pPr>
              <w:spacing w:before="60" w:after="0" w:line="312" w:lineRule="auto"/>
              <w:jc w:val="center"/>
              <w:rPr>
                <w:rFonts w:ascii="Times New Roman" w:hAnsi="Times New Roman" w:cs="Times New Roman"/>
                <w:bCs/>
                <w:color w:val="000000" w:themeColor="text1"/>
              </w:rPr>
            </w:pPr>
            <w:r w:rsidRPr="00CB0B61">
              <w:rPr>
                <w:rFonts w:ascii="Times New Roman" w:hAnsi="Times New Roman" w:cs="Times New Roman"/>
                <w:bCs/>
                <w:color w:val="000000" w:themeColor="text1"/>
              </w:rPr>
              <w:t>6 (6 – 6)</w:t>
            </w:r>
          </w:p>
        </w:tc>
        <w:tc>
          <w:tcPr>
            <w:tcW w:w="812" w:type="dxa"/>
            <w:vMerge w:val="restart"/>
          </w:tcPr>
          <w:p w:rsidR="00631178" w:rsidRPr="00CB0B61" w:rsidRDefault="00631178" w:rsidP="00BF7EFC">
            <w:pPr>
              <w:spacing w:before="60" w:after="0" w:line="312" w:lineRule="auto"/>
              <w:jc w:val="center"/>
              <w:rPr>
                <w:rFonts w:ascii="Times New Roman" w:hAnsi="Times New Roman" w:cs="Times New Roman"/>
                <w:color w:val="000000" w:themeColor="text1"/>
              </w:rPr>
            </w:pPr>
          </w:p>
          <w:p w:rsidR="00631178" w:rsidRPr="00CB0B61" w:rsidRDefault="00631178"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1,56</w:t>
            </w:r>
          </w:p>
        </w:tc>
        <w:tc>
          <w:tcPr>
            <w:tcW w:w="690" w:type="dxa"/>
            <w:vMerge w:val="restart"/>
          </w:tcPr>
          <w:p w:rsidR="00631178" w:rsidRPr="00CB0B61" w:rsidRDefault="00631178" w:rsidP="00BF7EFC">
            <w:pPr>
              <w:spacing w:before="60" w:after="0" w:line="312" w:lineRule="auto"/>
              <w:jc w:val="center"/>
              <w:rPr>
                <w:rFonts w:ascii="Times New Roman" w:hAnsi="Times New Roman" w:cs="Times New Roman"/>
                <w:color w:val="000000" w:themeColor="text1"/>
              </w:rPr>
            </w:pPr>
          </w:p>
          <w:p w:rsidR="00631178" w:rsidRPr="00CB0B61" w:rsidRDefault="00631178"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0,75</w:t>
            </w:r>
          </w:p>
        </w:tc>
        <w:tc>
          <w:tcPr>
            <w:tcW w:w="1216" w:type="dxa"/>
            <w:vMerge w:val="restart"/>
          </w:tcPr>
          <w:p w:rsidR="00631178" w:rsidRPr="00CB0B61" w:rsidRDefault="00631178" w:rsidP="00BF7EFC">
            <w:pPr>
              <w:spacing w:before="60" w:after="0" w:line="312" w:lineRule="auto"/>
              <w:jc w:val="center"/>
              <w:rPr>
                <w:rFonts w:ascii="Times New Roman" w:hAnsi="Times New Roman" w:cs="Times New Roman"/>
                <w:color w:val="000000" w:themeColor="text1"/>
              </w:rPr>
            </w:pPr>
          </w:p>
          <w:p w:rsidR="00631178" w:rsidRPr="00CB0B61" w:rsidRDefault="00631178"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1,25 – 1,88</w:t>
            </w:r>
          </w:p>
        </w:tc>
        <w:tc>
          <w:tcPr>
            <w:tcW w:w="836" w:type="dxa"/>
            <w:vMerge w:val="restart"/>
          </w:tcPr>
          <w:p w:rsidR="00631178" w:rsidRPr="00CB0B61" w:rsidRDefault="00631178" w:rsidP="00BF7EFC">
            <w:pPr>
              <w:spacing w:before="60" w:after="0" w:line="312" w:lineRule="auto"/>
              <w:jc w:val="center"/>
              <w:rPr>
                <w:rFonts w:ascii="Times New Roman" w:hAnsi="Times New Roman" w:cs="Times New Roman"/>
                <w:color w:val="000000" w:themeColor="text1"/>
              </w:rPr>
            </w:pPr>
          </w:p>
          <w:p w:rsidR="00631178" w:rsidRPr="00CB0B61" w:rsidRDefault="00631178"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&lt;0,001</w:t>
            </w:r>
          </w:p>
        </w:tc>
      </w:tr>
      <w:tr w:rsidR="00631178" w:rsidRPr="00CB0B61" w:rsidTr="00BF7EFC">
        <w:trPr>
          <w:jc w:val="center"/>
        </w:trPr>
        <w:tc>
          <w:tcPr>
            <w:tcW w:w="938" w:type="dxa"/>
          </w:tcPr>
          <w:p w:rsidR="00631178" w:rsidRPr="00CB0B61" w:rsidRDefault="00566F5B" w:rsidP="00BF7EFC">
            <w:pPr>
              <w:spacing w:before="60" w:after="0" w:line="312" w:lineRule="auto"/>
              <w:rPr>
                <w:rFonts w:ascii="Times New Roman" w:hAnsi="Times New Roman" w:cs="Times New Roman"/>
                <w:bCs/>
                <w:color w:val="000000" w:themeColor="text1"/>
              </w:rPr>
            </w:pPr>
            <w:r w:rsidRPr="00CB0B61">
              <w:rPr>
                <w:rFonts w:ascii="Times New Roman" w:hAnsi="Times New Roman" w:cs="Times New Roman"/>
                <w:bCs/>
                <w:color w:val="000000" w:themeColor="text1"/>
              </w:rPr>
              <w:t>Grade</w:t>
            </w:r>
            <w:r w:rsidR="00631178" w:rsidRPr="00CB0B61">
              <w:rPr>
                <w:rFonts w:ascii="Times New Roman" w:hAnsi="Times New Roman" w:cs="Times New Roman"/>
                <w:bCs/>
                <w:color w:val="000000" w:themeColor="text1"/>
              </w:rPr>
              <w:t xml:space="preserve"> 2</w:t>
            </w:r>
          </w:p>
        </w:tc>
        <w:tc>
          <w:tcPr>
            <w:tcW w:w="638" w:type="dxa"/>
          </w:tcPr>
          <w:p w:rsidR="00631178" w:rsidRPr="00CB0B61" w:rsidRDefault="00631178" w:rsidP="00BF7EFC">
            <w:pPr>
              <w:spacing w:before="60" w:after="0" w:line="312" w:lineRule="auto"/>
              <w:jc w:val="center"/>
              <w:rPr>
                <w:rFonts w:ascii="Times New Roman" w:hAnsi="Times New Roman" w:cs="Times New Roman"/>
                <w:bCs/>
                <w:color w:val="000000" w:themeColor="text1"/>
              </w:rPr>
            </w:pPr>
            <w:r w:rsidRPr="00CB0B61">
              <w:rPr>
                <w:rFonts w:ascii="Times New Roman" w:hAnsi="Times New Roman" w:cs="Times New Roman"/>
                <w:bCs/>
                <w:color w:val="000000" w:themeColor="text1"/>
              </w:rPr>
              <w:t>45</w:t>
            </w:r>
          </w:p>
        </w:tc>
        <w:tc>
          <w:tcPr>
            <w:tcW w:w="1604" w:type="dxa"/>
          </w:tcPr>
          <w:p w:rsidR="00631178" w:rsidRPr="00CB0B61" w:rsidRDefault="00631178" w:rsidP="00BF7EFC">
            <w:pPr>
              <w:spacing w:before="60" w:after="0" w:line="312" w:lineRule="auto"/>
              <w:jc w:val="center"/>
              <w:rPr>
                <w:rFonts w:ascii="Times New Roman" w:hAnsi="Times New Roman" w:cs="Times New Roman"/>
                <w:bCs/>
                <w:color w:val="000000" w:themeColor="text1"/>
              </w:rPr>
            </w:pPr>
            <w:r w:rsidRPr="00CB0B61">
              <w:rPr>
                <w:rFonts w:ascii="Times New Roman" w:hAnsi="Times New Roman" w:cs="Times New Roman"/>
                <w:bCs/>
                <w:color w:val="000000" w:themeColor="text1"/>
              </w:rPr>
              <w:t>8 (7 – 8)</w:t>
            </w:r>
          </w:p>
        </w:tc>
        <w:tc>
          <w:tcPr>
            <w:tcW w:w="812" w:type="dxa"/>
            <w:vMerge/>
          </w:tcPr>
          <w:p w:rsidR="00631178" w:rsidRPr="00CB0B61" w:rsidRDefault="00631178" w:rsidP="00BF7EFC">
            <w:pPr>
              <w:spacing w:before="60" w:after="0" w:line="312" w:lineRule="auto"/>
              <w:rPr>
                <w:rFonts w:ascii="Times New Roman" w:hAnsi="Times New Roman" w:cs="Times New Roman"/>
                <w:bCs/>
                <w:color w:val="000000" w:themeColor="text1"/>
              </w:rPr>
            </w:pPr>
          </w:p>
        </w:tc>
        <w:tc>
          <w:tcPr>
            <w:tcW w:w="690" w:type="dxa"/>
            <w:vMerge/>
          </w:tcPr>
          <w:p w:rsidR="00631178" w:rsidRPr="00CB0B61" w:rsidRDefault="00631178" w:rsidP="00BF7EFC">
            <w:pPr>
              <w:spacing w:before="60" w:after="0" w:line="312" w:lineRule="auto"/>
              <w:rPr>
                <w:rFonts w:ascii="Times New Roman" w:hAnsi="Times New Roman" w:cs="Times New Roman"/>
                <w:bCs/>
                <w:color w:val="000000" w:themeColor="text1"/>
              </w:rPr>
            </w:pPr>
          </w:p>
        </w:tc>
        <w:tc>
          <w:tcPr>
            <w:tcW w:w="1216" w:type="dxa"/>
            <w:vMerge/>
          </w:tcPr>
          <w:p w:rsidR="00631178" w:rsidRPr="00CB0B61" w:rsidRDefault="00631178" w:rsidP="00BF7EFC">
            <w:pPr>
              <w:spacing w:before="60" w:after="0" w:line="312" w:lineRule="auto"/>
              <w:rPr>
                <w:rFonts w:ascii="Times New Roman" w:hAnsi="Times New Roman" w:cs="Times New Roman"/>
                <w:bCs/>
                <w:color w:val="000000" w:themeColor="text1"/>
              </w:rPr>
            </w:pPr>
          </w:p>
        </w:tc>
        <w:tc>
          <w:tcPr>
            <w:tcW w:w="836" w:type="dxa"/>
            <w:vMerge/>
          </w:tcPr>
          <w:p w:rsidR="00631178" w:rsidRPr="00CB0B61" w:rsidRDefault="00631178" w:rsidP="00BF7EFC">
            <w:pPr>
              <w:spacing w:before="60" w:after="0" w:line="312" w:lineRule="auto"/>
              <w:rPr>
                <w:rFonts w:ascii="Times New Roman" w:hAnsi="Times New Roman" w:cs="Times New Roman"/>
                <w:bCs/>
                <w:color w:val="000000" w:themeColor="text1"/>
              </w:rPr>
            </w:pPr>
          </w:p>
        </w:tc>
      </w:tr>
      <w:tr w:rsidR="00631178" w:rsidRPr="00CB0B61" w:rsidTr="00BF7EFC">
        <w:trPr>
          <w:jc w:val="center"/>
        </w:trPr>
        <w:tc>
          <w:tcPr>
            <w:tcW w:w="938" w:type="dxa"/>
          </w:tcPr>
          <w:p w:rsidR="00631178" w:rsidRPr="00CB0B61" w:rsidRDefault="00566F5B" w:rsidP="00BF7EFC">
            <w:pPr>
              <w:spacing w:before="60" w:after="0" w:line="312" w:lineRule="auto"/>
              <w:rPr>
                <w:rFonts w:ascii="Times New Roman" w:hAnsi="Times New Roman" w:cs="Times New Roman"/>
                <w:bCs/>
                <w:color w:val="000000" w:themeColor="text1"/>
              </w:rPr>
            </w:pPr>
            <w:r w:rsidRPr="00CB0B61">
              <w:rPr>
                <w:rFonts w:ascii="Times New Roman" w:hAnsi="Times New Roman" w:cs="Times New Roman"/>
                <w:bCs/>
                <w:color w:val="000000" w:themeColor="text1"/>
              </w:rPr>
              <w:t>Grade</w:t>
            </w:r>
            <w:r w:rsidR="00631178" w:rsidRPr="00CB0B61">
              <w:rPr>
                <w:rFonts w:ascii="Times New Roman" w:hAnsi="Times New Roman" w:cs="Times New Roman"/>
                <w:bCs/>
                <w:color w:val="000000" w:themeColor="text1"/>
              </w:rPr>
              <w:t xml:space="preserve"> 3</w:t>
            </w:r>
          </w:p>
        </w:tc>
        <w:tc>
          <w:tcPr>
            <w:tcW w:w="638" w:type="dxa"/>
          </w:tcPr>
          <w:p w:rsidR="00631178" w:rsidRPr="00CB0B61" w:rsidRDefault="00631178" w:rsidP="00BF7EFC">
            <w:pPr>
              <w:spacing w:before="60" w:after="0" w:line="312" w:lineRule="auto"/>
              <w:jc w:val="center"/>
              <w:rPr>
                <w:rFonts w:ascii="Times New Roman" w:hAnsi="Times New Roman" w:cs="Times New Roman"/>
                <w:bCs/>
                <w:color w:val="000000" w:themeColor="text1"/>
              </w:rPr>
            </w:pPr>
            <w:r w:rsidRPr="00CB0B61">
              <w:rPr>
                <w:rFonts w:ascii="Times New Roman" w:hAnsi="Times New Roman" w:cs="Times New Roman"/>
                <w:bCs/>
                <w:color w:val="000000" w:themeColor="text1"/>
              </w:rPr>
              <w:t>11</w:t>
            </w:r>
          </w:p>
        </w:tc>
        <w:tc>
          <w:tcPr>
            <w:tcW w:w="1604" w:type="dxa"/>
          </w:tcPr>
          <w:p w:rsidR="00631178" w:rsidRPr="00CB0B61" w:rsidRDefault="00631178" w:rsidP="00BF7EFC">
            <w:pPr>
              <w:spacing w:before="60" w:after="0" w:line="312" w:lineRule="auto"/>
              <w:jc w:val="center"/>
              <w:rPr>
                <w:rFonts w:ascii="Times New Roman" w:hAnsi="Times New Roman" w:cs="Times New Roman"/>
                <w:bCs/>
                <w:color w:val="000000" w:themeColor="text1"/>
              </w:rPr>
            </w:pPr>
            <w:r w:rsidRPr="00CB0B61">
              <w:rPr>
                <w:rFonts w:ascii="Times New Roman" w:hAnsi="Times New Roman" w:cs="Times New Roman"/>
                <w:bCs/>
                <w:color w:val="000000" w:themeColor="text1"/>
              </w:rPr>
              <w:t>9 (8 – 10)</w:t>
            </w:r>
          </w:p>
        </w:tc>
        <w:tc>
          <w:tcPr>
            <w:tcW w:w="812" w:type="dxa"/>
            <w:vMerge/>
          </w:tcPr>
          <w:p w:rsidR="00631178" w:rsidRPr="00CB0B61" w:rsidRDefault="00631178" w:rsidP="00BF7EFC">
            <w:pPr>
              <w:spacing w:before="60" w:after="0" w:line="312" w:lineRule="auto"/>
              <w:rPr>
                <w:rFonts w:ascii="Times New Roman" w:hAnsi="Times New Roman" w:cs="Times New Roman"/>
                <w:bCs/>
                <w:color w:val="000000" w:themeColor="text1"/>
              </w:rPr>
            </w:pPr>
          </w:p>
        </w:tc>
        <w:tc>
          <w:tcPr>
            <w:tcW w:w="690" w:type="dxa"/>
            <w:vMerge/>
          </w:tcPr>
          <w:p w:rsidR="00631178" w:rsidRPr="00CB0B61" w:rsidRDefault="00631178" w:rsidP="00BF7EFC">
            <w:pPr>
              <w:spacing w:before="60" w:after="0" w:line="312" w:lineRule="auto"/>
              <w:rPr>
                <w:rFonts w:ascii="Times New Roman" w:hAnsi="Times New Roman" w:cs="Times New Roman"/>
                <w:bCs/>
                <w:color w:val="000000" w:themeColor="text1"/>
              </w:rPr>
            </w:pPr>
          </w:p>
        </w:tc>
        <w:tc>
          <w:tcPr>
            <w:tcW w:w="1216" w:type="dxa"/>
            <w:vMerge/>
          </w:tcPr>
          <w:p w:rsidR="00631178" w:rsidRPr="00CB0B61" w:rsidRDefault="00631178" w:rsidP="00BF7EFC">
            <w:pPr>
              <w:spacing w:before="60" w:after="0" w:line="312" w:lineRule="auto"/>
              <w:rPr>
                <w:rFonts w:ascii="Times New Roman" w:hAnsi="Times New Roman" w:cs="Times New Roman"/>
                <w:bCs/>
                <w:color w:val="000000" w:themeColor="text1"/>
              </w:rPr>
            </w:pPr>
          </w:p>
        </w:tc>
        <w:tc>
          <w:tcPr>
            <w:tcW w:w="836" w:type="dxa"/>
            <w:vMerge/>
          </w:tcPr>
          <w:p w:rsidR="00631178" w:rsidRPr="00CB0B61" w:rsidRDefault="00631178" w:rsidP="00BF7EFC">
            <w:pPr>
              <w:spacing w:before="60" w:after="0" w:line="312" w:lineRule="auto"/>
              <w:rPr>
                <w:rFonts w:ascii="Times New Roman" w:hAnsi="Times New Roman" w:cs="Times New Roman"/>
                <w:bCs/>
                <w:color w:val="000000" w:themeColor="text1"/>
              </w:rPr>
            </w:pPr>
          </w:p>
        </w:tc>
      </w:tr>
      <w:tr w:rsidR="00631178" w:rsidRPr="00CB0B61" w:rsidTr="00BF7EFC">
        <w:trPr>
          <w:trHeight w:val="68"/>
          <w:jc w:val="center"/>
        </w:trPr>
        <w:tc>
          <w:tcPr>
            <w:tcW w:w="938" w:type="dxa"/>
          </w:tcPr>
          <w:p w:rsidR="00631178" w:rsidRPr="00CB0B61" w:rsidRDefault="00566F5B" w:rsidP="00BF7EFC">
            <w:pPr>
              <w:spacing w:before="60" w:after="0" w:line="312" w:lineRule="auto"/>
              <w:rPr>
                <w:rFonts w:ascii="Times New Roman" w:hAnsi="Times New Roman" w:cs="Times New Roman"/>
                <w:bCs/>
                <w:color w:val="000000" w:themeColor="text1"/>
              </w:rPr>
            </w:pPr>
            <w:r w:rsidRPr="00CB0B61">
              <w:rPr>
                <w:rFonts w:ascii="Times New Roman" w:hAnsi="Times New Roman" w:cs="Times New Roman"/>
                <w:bCs/>
                <w:color w:val="000000" w:themeColor="text1"/>
              </w:rPr>
              <w:t>Grade</w:t>
            </w:r>
            <w:r w:rsidR="00631178" w:rsidRPr="00CB0B61">
              <w:rPr>
                <w:rFonts w:ascii="Times New Roman" w:hAnsi="Times New Roman" w:cs="Times New Roman"/>
                <w:bCs/>
                <w:color w:val="000000" w:themeColor="text1"/>
              </w:rPr>
              <w:t xml:space="preserve"> 4</w:t>
            </w:r>
          </w:p>
        </w:tc>
        <w:tc>
          <w:tcPr>
            <w:tcW w:w="638" w:type="dxa"/>
          </w:tcPr>
          <w:p w:rsidR="00631178" w:rsidRPr="00CB0B61" w:rsidRDefault="00631178" w:rsidP="00BF7EFC">
            <w:pPr>
              <w:spacing w:before="60" w:after="0" w:line="312" w:lineRule="auto"/>
              <w:jc w:val="center"/>
              <w:rPr>
                <w:rFonts w:ascii="Times New Roman" w:hAnsi="Times New Roman" w:cs="Times New Roman"/>
                <w:bCs/>
                <w:color w:val="000000" w:themeColor="text1"/>
              </w:rPr>
            </w:pPr>
            <w:r w:rsidRPr="00CB0B61">
              <w:rPr>
                <w:rFonts w:ascii="Times New Roman" w:hAnsi="Times New Roman" w:cs="Times New Roman"/>
                <w:bCs/>
                <w:color w:val="000000" w:themeColor="text1"/>
              </w:rPr>
              <w:t>1</w:t>
            </w:r>
          </w:p>
        </w:tc>
        <w:tc>
          <w:tcPr>
            <w:tcW w:w="1604" w:type="dxa"/>
          </w:tcPr>
          <w:p w:rsidR="00631178" w:rsidRPr="00CB0B61" w:rsidRDefault="00631178" w:rsidP="00BF7EFC">
            <w:pPr>
              <w:spacing w:before="60" w:after="0" w:line="312" w:lineRule="auto"/>
              <w:jc w:val="center"/>
              <w:rPr>
                <w:rFonts w:ascii="Times New Roman" w:hAnsi="Times New Roman" w:cs="Times New Roman"/>
                <w:bCs/>
                <w:color w:val="000000" w:themeColor="text1"/>
              </w:rPr>
            </w:pPr>
            <w:r w:rsidRPr="00CB0B61">
              <w:rPr>
                <w:rFonts w:ascii="Times New Roman" w:hAnsi="Times New Roman" w:cs="Times New Roman"/>
                <w:bCs/>
                <w:color w:val="000000" w:themeColor="text1"/>
              </w:rPr>
              <w:t>11</w:t>
            </w:r>
          </w:p>
        </w:tc>
        <w:tc>
          <w:tcPr>
            <w:tcW w:w="812" w:type="dxa"/>
            <w:vMerge/>
          </w:tcPr>
          <w:p w:rsidR="00631178" w:rsidRPr="00CB0B61" w:rsidRDefault="00631178" w:rsidP="00BF7EFC">
            <w:pPr>
              <w:spacing w:before="60" w:after="0" w:line="312" w:lineRule="auto"/>
              <w:rPr>
                <w:rFonts w:ascii="Times New Roman" w:hAnsi="Times New Roman" w:cs="Times New Roman"/>
                <w:bCs/>
                <w:color w:val="000000" w:themeColor="text1"/>
              </w:rPr>
            </w:pPr>
          </w:p>
        </w:tc>
        <w:tc>
          <w:tcPr>
            <w:tcW w:w="690" w:type="dxa"/>
            <w:vMerge/>
          </w:tcPr>
          <w:p w:rsidR="00631178" w:rsidRPr="00CB0B61" w:rsidRDefault="00631178" w:rsidP="00BF7EFC">
            <w:pPr>
              <w:spacing w:before="60" w:after="0" w:line="312" w:lineRule="auto"/>
              <w:rPr>
                <w:rFonts w:ascii="Times New Roman" w:hAnsi="Times New Roman" w:cs="Times New Roman"/>
                <w:bCs/>
                <w:color w:val="000000" w:themeColor="text1"/>
              </w:rPr>
            </w:pPr>
          </w:p>
        </w:tc>
        <w:tc>
          <w:tcPr>
            <w:tcW w:w="1216" w:type="dxa"/>
            <w:vMerge/>
          </w:tcPr>
          <w:p w:rsidR="00631178" w:rsidRPr="00CB0B61" w:rsidRDefault="00631178" w:rsidP="00BF7EFC">
            <w:pPr>
              <w:spacing w:before="60" w:after="0" w:line="312" w:lineRule="auto"/>
              <w:rPr>
                <w:rFonts w:ascii="Times New Roman" w:hAnsi="Times New Roman" w:cs="Times New Roman"/>
                <w:bCs/>
                <w:color w:val="000000" w:themeColor="text1"/>
              </w:rPr>
            </w:pPr>
          </w:p>
        </w:tc>
        <w:tc>
          <w:tcPr>
            <w:tcW w:w="836" w:type="dxa"/>
            <w:vMerge/>
          </w:tcPr>
          <w:p w:rsidR="00631178" w:rsidRPr="00CB0B61" w:rsidRDefault="00631178" w:rsidP="00BF7EFC">
            <w:pPr>
              <w:spacing w:before="60" w:after="0" w:line="312" w:lineRule="auto"/>
              <w:rPr>
                <w:rFonts w:ascii="Times New Roman" w:hAnsi="Times New Roman" w:cs="Times New Roman"/>
                <w:bCs/>
                <w:color w:val="000000" w:themeColor="text1"/>
              </w:rPr>
            </w:pPr>
          </w:p>
        </w:tc>
      </w:tr>
    </w:tbl>
    <w:p w:rsidR="00EB23B9" w:rsidRPr="00BF7EFC" w:rsidRDefault="00566F5B" w:rsidP="00B06B8E">
      <w:pPr>
        <w:pStyle w:val="NormalWeb"/>
        <w:spacing w:before="0" w:beforeAutospacing="0" w:after="0" w:afterAutospacing="0" w:line="312" w:lineRule="auto"/>
        <w:ind w:firstLine="454"/>
        <w:jc w:val="both"/>
        <w:rPr>
          <w:spacing w:val="-4"/>
          <w:sz w:val="22"/>
          <w:szCs w:val="22"/>
        </w:rPr>
      </w:pPr>
      <w:r w:rsidRPr="00BF7EFC">
        <w:rPr>
          <w:rStyle w:val="citation-212"/>
          <w:spacing w:val="-4"/>
          <w:sz w:val="22"/>
          <w:szCs w:val="22"/>
        </w:rPr>
        <w:t>There was a very strong, statistically significant positive correlation between the number of clinical symptoms and the severity of inhalation injury (p&lt;0.001)</w:t>
      </w:r>
      <w:r w:rsidRPr="00BF7EFC">
        <w:rPr>
          <w:spacing w:val="-4"/>
          <w:sz w:val="22"/>
          <w:szCs w:val="22"/>
        </w:rPr>
        <w:t xml:space="preserve">. </w:t>
      </w:r>
      <w:r w:rsidRPr="00BF7EFC">
        <w:rPr>
          <w:rStyle w:val="citation-211"/>
          <w:spacing w:val="-4"/>
          <w:sz w:val="22"/>
          <w:szCs w:val="22"/>
        </w:rPr>
        <w:t>The number of symptoms increased with each grade of injury, confirming that a thorough clinical examination is a reliable tool for predicting the extent of airway damage</w:t>
      </w:r>
      <w:r w:rsidRPr="00BF7EFC">
        <w:rPr>
          <w:spacing w:val="-4"/>
          <w:sz w:val="22"/>
          <w:szCs w:val="22"/>
        </w:rPr>
        <w:t>.</w:t>
      </w:r>
    </w:p>
    <w:p w:rsidR="00EB23B9" w:rsidRPr="00CB0B61" w:rsidRDefault="00566F5B" w:rsidP="00B06B8E">
      <w:pPr>
        <w:pStyle w:val="NormalWeb"/>
        <w:spacing w:before="0" w:beforeAutospacing="0" w:after="0" w:afterAutospacing="0" w:line="312" w:lineRule="auto"/>
        <w:jc w:val="center"/>
        <w:rPr>
          <w:b/>
          <w:color w:val="1B1C1D"/>
          <w:sz w:val="22"/>
          <w:szCs w:val="22"/>
        </w:rPr>
      </w:pPr>
      <w:r w:rsidRPr="00CB0B61">
        <w:rPr>
          <w:b/>
          <w:sz w:val="22"/>
          <w:szCs w:val="22"/>
        </w:rPr>
        <w:t xml:space="preserve">Table 4. Arterial </w:t>
      </w:r>
      <w:r w:rsidR="00665F36">
        <w:rPr>
          <w:b/>
          <w:sz w:val="22"/>
          <w:szCs w:val="22"/>
        </w:rPr>
        <w:t>b</w:t>
      </w:r>
      <w:r w:rsidRPr="00CB0B61">
        <w:rPr>
          <w:b/>
          <w:sz w:val="22"/>
          <w:szCs w:val="22"/>
        </w:rPr>
        <w:t xml:space="preserve">lood </w:t>
      </w:r>
      <w:r w:rsidR="00665F36">
        <w:rPr>
          <w:b/>
          <w:sz w:val="22"/>
          <w:szCs w:val="22"/>
        </w:rPr>
        <w:t>g</w:t>
      </w:r>
      <w:r w:rsidRPr="00CB0B61">
        <w:rPr>
          <w:b/>
          <w:sz w:val="22"/>
          <w:szCs w:val="22"/>
        </w:rPr>
        <w:t xml:space="preserve">as </w:t>
      </w:r>
      <w:r w:rsidR="00665F36">
        <w:rPr>
          <w:b/>
          <w:sz w:val="22"/>
          <w:szCs w:val="22"/>
        </w:rPr>
        <w:t>c</w:t>
      </w:r>
      <w:r w:rsidRPr="00CB0B61">
        <w:rPr>
          <w:b/>
          <w:sz w:val="22"/>
          <w:szCs w:val="22"/>
        </w:rPr>
        <w:t xml:space="preserve">haracteristics on </w:t>
      </w:r>
      <w:r w:rsidR="00665F36">
        <w:rPr>
          <w:b/>
          <w:sz w:val="22"/>
          <w:szCs w:val="22"/>
        </w:rPr>
        <w:t>a</w:t>
      </w:r>
      <w:r w:rsidRPr="00CB0B61">
        <w:rPr>
          <w:b/>
          <w:sz w:val="22"/>
          <w:szCs w:val="22"/>
        </w:rPr>
        <w:t>dmission (n=76)</w:t>
      </w:r>
    </w:p>
    <w:tbl>
      <w:tblPr>
        <w:tblStyle w:val="TableGrid"/>
        <w:tblW w:w="6112" w:type="dxa"/>
        <w:tblLook w:val="04A0" w:firstRow="1" w:lastRow="0" w:firstColumn="1" w:lastColumn="0" w:noHBand="0" w:noVBand="1"/>
      </w:tblPr>
      <w:tblGrid>
        <w:gridCol w:w="1857"/>
        <w:gridCol w:w="2044"/>
        <w:gridCol w:w="2211"/>
      </w:tblGrid>
      <w:tr w:rsidR="00EB23B9" w:rsidRPr="00CB0B61" w:rsidTr="00BF7EFC">
        <w:tc>
          <w:tcPr>
            <w:tcW w:w="1857" w:type="dxa"/>
            <w:hideMark/>
          </w:tcPr>
          <w:p w:rsidR="00EB23B9" w:rsidRPr="00CB0B61" w:rsidRDefault="00566F5B" w:rsidP="00BF7EFC">
            <w:pPr>
              <w:spacing w:before="60" w:line="312" w:lineRule="auto"/>
              <w:jc w:val="center"/>
              <w:rPr>
                <w:rFonts w:ascii="Times New Roman" w:hAnsi="Times New Roman" w:cs="Times New Roman"/>
                <w:b/>
                <w:color w:val="1B1C1D"/>
              </w:rPr>
            </w:pPr>
            <w:r w:rsidRPr="00CB0B61">
              <w:rPr>
                <w:rFonts w:ascii="Times New Roman" w:hAnsi="Times New Roman" w:cs="Times New Roman"/>
                <w:b/>
              </w:rPr>
              <w:t>Index</w:t>
            </w:r>
          </w:p>
        </w:tc>
        <w:tc>
          <w:tcPr>
            <w:tcW w:w="2044" w:type="dxa"/>
            <w:hideMark/>
          </w:tcPr>
          <w:p w:rsidR="00EB23B9" w:rsidRPr="00CB0B61" w:rsidRDefault="00566F5B" w:rsidP="00BF7EFC">
            <w:pPr>
              <w:spacing w:before="60" w:line="312" w:lineRule="auto"/>
              <w:jc w:val="center"/>
              <w:rPr>
                <w:rFonts w:ascii="Times New Roman" w:hAnsi="Times New Roman" w:cs="Times New Roman"/>
                <w:b/>
                <w:color w:val="1B1C1D"/>
              </w:rPr>
            </w:pPr>
            <w:r w:rsidRPr="00CB0B61">
              <w:rPr>
                <w:rFonts w:ascii="Times New Roman" w:hAnsi="Times New Roman" w:cs="Times New Roman"/>
                <w:b/>
              </w:rPr>
              <w:t>Median</w:t>
            </w:r>
          </w:p>
        </w:tc>
        <w:tc>
          <w:tcPr>
            <w:tcW w:w="2211" w:type="dxa"/>
            <w:hideMark/>
          </w:tcPr>
          <w:p w:rsidR="00EB23B9" w:rsidRPr="00CB0B61" w:rsidRDefault="00EB23B9" w:rsidP="00BF7EFC">
            <w:pPr>
              <w:spacing w:before="60" w:line="312" w:lineRule="auto"/>
              <w:jc w:val="center"/>
              <w:rPr>
                <w:rFonts w:ascii="Times New Roman" w:hAnsi="Times New Roman" w:cs="Times New Roman"/>
                <w:b/>
                <w:color w:val="1B1C1D"/>
              </w:rPr>
            </w:pPr>
            <w:r w:rsidRPr="00CB0B61">
              <w:rPr>
                <w:rFonts w:ascii="Times New Roman" w:hAnsi="Times New Roman" w:cs="Times New Roman"/>
                <w:b/>
                <w:color w:val="1B1C1D"/>
              </w:rPr>
              <w:t>IQR</w:t>
            </w:r>
          </w:p>
        </w:tc>
      </w:tr>
      <w:tr w:rsidR="00EB23B9" w:rsidRPr="00CB0B61" w:rsidTr="00BF7EFC">
        <w:tc>
          <w:tcPr>
            <w:tcW w:w="1857" w:type="dxa"/>
            <w:hideMark/>
          </w:tcPr>
          <w:p w:rsidR="00EB23B9" w:rsidRPr="00CB0B61" w:rsidRDefault="00EB23B9" w:rsidP="00BF7EFC">
            <w:pPr>
              <w:spacing w:before="60" w:line="312" w:lineRule="auto"/>
              <w:jc w:val="both"/>
              <w:rPr>
                <w:rFonts w:ascii="Times New Roman" w:hAnsi="Times New Roman" w:cs="Times New Roman"/>
                <w:color w:val="1B1C1D"/>
              </w:rPr>
            </w:pPr>
            <w:r w:rsidRPr="00CB0B61">
              <w:rPr>
                <w:rFonts w:ascii="Times New Roman" w:hAnsi="Times New Roman" w:cs="Times New Roman"/>
                <w:color w:val="1B1C1D"/>
              </w:rPr>
              <w:t>pH</w:t>
            </w:r>
          </w:p>
        </w:tc>
        <w:tc>
          <w:tcPr>
            <w:tcW w:w="2044"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7,32</w:t>
            </w:r>
          </w:p>
        </w:tc>
        <w:tc>
          <w:tcPr>
            <w:tcW w:w="2211"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7,23 – 7,38</w:t>
            </w:r>
          </w:p>
        </w:tc>
      </w:tr>
      <w:tr w:rsidR="00EB23B9" w:rsidRPr="00CB0B61" w:rsidTr="00BF7EFC">
        <w:tc>
          <w:tcPr>
            <w:tcW w:w="1857" w:type="dxa"/>
            <w:hideMark/>
          </w:tcPr>
          <w:p w:rsidR="00EB23B9" w:rsidRPr="00CB0B61" w:rsidRDefault="00EB23B9" w:rsidP="00BF7EFC">
            <w:pPr>
              <w:spacing w:before="60" w:line="312" w:lineRule="auto"/>
              <w:jc w:val="both"/>
              <w:rPr>
                <w:rFonts w:ascii="Times New Roman" w:hAnsi="Times New Roman" w:cs="Times New Roman"/>
                <w:color w:val="1B1C1D"/>
              </w:rPr>
            </w:pPr>
            <w:r w:rsidRPr="00CB0B61">
              <w:rPr>
                <w:rFonts w:ascii="Times New Roman" w:hAnsi="Times New Roman" w:cs="Times New Roman"/>
                <w:color w:val="1B1C1D"/>
              </w:rPr>
              <w:t>PaO2 (mmHg)</w:t>
            </w:r>
          </w:p>
        </w:tc>
        <w:tc>
          <w:tcPr>
            <w:tcW w:w="2044"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154,5</w:t>
            </w:r>
          </w:p>
        </w:tc>
        <w:tc>
          <w:tcPr>
            <w:tcW w:w="2211"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90 – 235,5</w:t>
            </w:r>
          </w:p>
        </w:tc>
      </w:tr>
      <w:tr w:rsidR="00EB23B9" w:rsidRPr="00CB0B61" w:rsidTr="00BF7EFC">
        <w:tc>
          <w:tcPr>
            <w:tcW w:w="1857" w:type="dxa"/>
            <w:hideMark/>
          </w:tcPr>
          <w:p w:rsidR="00EB23B9" w:rsidRPr="00CB0B61" w:rsidRDefault="00EB23B9" w:rsidP="00BF7EFC">
            <w:pPr>
              <w:spacing w:before="60" w:line="312" w:lineRule="auto"/>
              <w:jc w:val="both"/>
              <w:rPr>
                <w:rFonts w:ascii="Times New Roman" w:hAnsi="Times New Roman" w:cs="Times New Roman"/>
                <w:color w:val="1B1C1D"/>
              </w:rPr>
            </w:pPr>
            <w:r w:rsidRPr="00CB0B61">
              <w:rPr>
                <w:rFonts w:ascii="Times New Roman" w:hAnsi="Times New Roman" w:cs="Times New Roman"/>
                <w:color w:val="1B1C1D"/>
              </w:rPr>
              <w:t>PaCO2 (mmHg)</w:t>
            </w:r>
          </w:p>
        </w:tc>
        <w:tc>
          <w:tcPr>
            <w:tcW w:w="2044"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38</w:t>
            </w:r>
          </w:p>
        </w:tc>
        <w:tc>
          <w:tcPr>
            <w:tcW w:w="2211"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32 – 43</w:t>
            </w:r>
          </w:p>
        </w:tc>
      </w:tr>
      <w:tr w:rsidR="00EB23B9" w:rsidRPr="00CB0B61" w:rsidTr="00BF7EFC">
        <w:tc>
          <w:tcPr>
            <w:tcW w:w="1857" w:type="dxa"/>
            <w:hideMark/>
          </w:tcPr>
          <w:p w:rsidR="00EB23B9" w:rsidRPr="00CB0B61" w:rsidRDefault="00EB23B9" w:rsidP="00BF7EFC">
            <w:pPr>
              <w:spacing w:before="60" w:line="312" w:lineRule="auto"/>
              <w:jc w:val="both"/>
              <w:rPr>
                <w:rFonts w:ascii="Times New Roman" w:hAnsi="Times New Roman" w:cs="Times New Roman"/>
                <w:color w:val="1B1C1D"/>
              </w:rPr>
            </w:pPr>
            <w:r w:rsidRPr="00CB0B61">
              <w:rPr>
                <w:rFonts w:ascii="Times New Roman" w:hAnsi="Times New Roman" w:cs="Times New Roman"/>
                <w:color w:val="1B1C1D"/>
              </w:rPr>
              <w:t>Lactate (mmol/l)</w:t>
            </w:r>
          </w:p>
        </w:tc>
        <w:tc>
          <w:tcPr>
            <w:tcW w:w="2044"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3,9</w:t>
            </w:r>
          </w:p>
        </w:tc>
        <w:tc>
          <w:tcPr>
            <w:tcW w:w="2211"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3 – 5,3</w:t>
            </w:r>
          </w:p>
        </w:tc>
      </w:tr>
      <w:tr w:rsidR="00EB23B9" w:rsidRPr="00CB0B61" w:rsidTr="00BF7EFC">
        <w:tc>
          <w:tcPr>
            <w:tcW w:w="1857" w:type="dxa"/>
            <w:hideMark/>
          </w:tcPr>
          <w:p w:rsidR="00EB23B9" w:rsidRPr="00CB0B61" w:rsidRDefault="00EB23B9" w:rsidP="00BF7EFC">
            <w:pPr>
              <w:spacing w:before="60" w:line="312" w:lineRule="auto"/>
              <w:jc w:val="both"/>
              <w:rPr>
                <w:rFonts w:ascii="Times New Roman" w:hAnsi="Times New Roman" w:cs="Times New Roman"/>
                <w:color w:val="1B1C1D"/>
              </w:rPr>
            </w:pPr>
            <w:r w:rsidRPr="00CB0B61">
              <w:rPr>
                <w:rFonts w:ascii="Times New Roman" w:hAnsi="Times New Roman" w:cs="Times New Roman"/>
                <w:color w:val="1B1C1D"/>
              </w:rPr>
              <w:t>BE (mmol/l)</w:t>
            </w:r>
          </w:p>
        </w:tc>
        <w:tc>
          <w:tcPr>
            <w:tcW w:w="2044"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-5,2</w:t>
            </w:r>
          </w:p>
        </w:tc>
        <w:tc>
          <w:tcPr>
            <w:tcW w:w="2211"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-10,3 – -2,4</w:t>
            </w:r>
          </w:p>
        </w:tc>
      </w:tr>
      <w:tr w:rsidR="00EB23B9" w:rsidRPr="00CB0B61" w:rsidTr="00BF7EFC">
        <w:tc>
          <w:tcPr>
            <w:tcW w:w="1857" w:type="dxa"/>
            <w:hideMark/>
          </w:tcPr>
          <w:p w:rsidR="00EB23B9" w:rsidRPr="00CB0B61" w:rsidRDefault="00EB23B9" w:rsidP="00BF7EFC">
            <w:pPr>
              <w:spacing w:before="60" w:line="312" w:lineRule="auto"/>
              <w:jc w:val="both"/>
              <w:rPr>
                <w:rFonts w:ascii="Times New Roman" w:hAnsi="Times New Roman" w:cs="Times New Roman"/>
                <w:color w:val="1B1C1D"/>
              </w:rPr>
            </w:pPr>
            <w:r w:rsidRPr="00CB0B61">
              <w:rPr>
                <w:rFonts w:ascii="Times New Roman" w:hAnsi="Times New Roman" w:cs="Times New Roman"/>
                <w:color w:val="1B1C1D"/>
              </w:rPr>
              <w:t>HCO3 (mmol/l)</w:t>
            </w:r>
          </w:p>
        </w:tc>
        <w:tc>
          <w:tcPr>
            <w:tcW w:w="2044"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20,9</w:t>
            </w:r>
          </w:p>
        </w:tc>
        <w:tc>
          <w:tcPr>
            <w:tcW w:w="2211"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16,5 – 23,1</w:t>
            </w:r>
          </w:p>
        </w:tc>
      </w:tr>
    </w:tbl>
    <w:p w:rsidR="00EB23B9" w:rsidRPr="00CB0B61" w:rsidRDefault="00566F5B" w:rsidP="00B06B8E">
      <w:pPr>
        <w:pStyle w:val="NormalWeb"/>
        <w:spacing w:before="0" w:beforeAutospacing="0" w:after="0" w:afterAutospacing="0" w:line="312" w:lineRule="auto"/>
        <w:ind w:firstLine="454"/>
        <w:jc w:val="both"/>
        <w:rPr>
          <w:color w:val="1B1C1D"/>
          <w:sz w:val="22"/>
          <w:szCs w:val="22"/>
        </w:rPr>
      </w:pPr>
      <w:r w:rsidRPr="00CB0B61">
        <w:rPr>
          <w:rStyle w:val="citation-209"/>
          <w:sz w:val="22"/>
          <w:szCs w:val="22"/>
        </w:rPr>
        <w:t xml:space="preserve">At admission, patients showed signs of shock and early tissue hypoperfusion with elevated lactate levels (median 3.9 mmol/l) and a negative base excess (BE) </w:t>
      </w:r>
      <w:r w:rsidRPr="00CB0B61">
        <w:rPr>
          <w:rStyle w:val="citation-208"/>
          <w:sz w:val="22"/>
          <w:szCs w:val="22"/>
        </w:rPr>
        <w:t>, even though PaO2 was maintained at a high level</w:t>
      </w:r>
      <w:r w:rsidR="00EB23B9" w:rsidRPr="00CB0B61">
        <w:rPr>
          <w:color w:val="1B1C1D"/>
          <w:sz w:val="22"/>
          <w:szCs w:val="22"/>
        </w:rPr>
        <w:t>.</w:t>
      </w:r>
    </w:p>
    <w:p w:rsidR="00BF7EFC" w:rsidRDefault="00BF7EFC" w:rsidP="00B06B8E">
      <w:pPr>
        <w:pStyle w:val="NormalWeb"/>
        <w:spacing w:before="0" w:beforeAutospacing="0" w:after="0" w:afterAutospacing="0" w:line="312" w:lineRule="auto"/>
        <w:jc w:val="center"/>
        <w:rPr>
          <w:b/>
          <w:sz w:val="22"/>
          <w:szCs w:val="22"/>
        </w:rPr>
      </w:pPr>
    </w:p>
    <w:p w:rsidR="00BF7EFC" w:rsidRDefault="00BF7EFC">
      <w:pPr>
        <w:rPr>
          <w:rFonts w:ascii="Times New Roman" w:eastAsia="Times New Roman" w:hAnsi="Times New Roman" w:cs="Times New Roman"/>
          <w:b/>
        </w:rPr>
      </w:pPr>
      <w:r>
        <w:rPr>
          <w:b/>
        </w:rPr>
        <w:br w:type="page"/>
      </w:r>
    </w:p>
    <w:p w:rsidR="00EB23B9" w:rsidRPr="00CB0B61" w:rsidRDefault="00566F5B" w:rsidP="00B06B8E">
      <w:pPr>
        <w:pStyle w:val="NormalWeb"/>
        <w:spacing w:before="0" w:beforeAutospacing="0" w:after="0" w:afterAutospacing="0" w:line="312" w:lineRule="auto"/>
        <w:jc w:val="center"/>
        <w:rPr>
          <w:b/>
          <w:color w:val="1B1C1D"/>
          <w:sz w:val="22"/>
          <w:szCs w:val="22"/>
        </w:rPr>
      </w:pPr>
      <w:r w:rsidRPr="00CB0B61">
        <w:rPr>
          <w:b/>
          <w:sz w:val="22"/>
          <w:szCs w:val="22"/>
        </w:rPr>
        <w:lastRenderedPageBreak/>
        <w:t xml:space="preserve">Table 5. Hematological and </w:t>
      </w:r>
      <w:r w:rsidR="00665F36">
        <w:rPr>
          <w:b/>
          <w:sz w:val="22"/>
          <w:szCs w:val="22"/>
        </w:rPr>
        <w:t>b</w:t>
      </w:r>
      <w:r w:rsidRPr="00CB0B61">
        <w:rPr>
          <w:b/>
          <w:sz w:val="22"/>
          <w:szCs w:val="22"/>
        </w:rPr>
        <w:t xml:space="preserve">iochemical </w:t>
      </w:r>
      <w:r w:rsidR="00665F36">
        <w:rPr>
          <w:b/>
          <w:sz w:val="22"/>
          <w:szCs w:val="22"/>
        </w:rPr>
        <w:t>p</w:t>
      </w:r>
      <w:r w:rsidRPr="00CB0B61">
        <w:rPr>
          <w:b/>
          <w:sz w:val="22"/>
          <w:szCs w:val="22"/>
        </w:rPr>
        <w:t xml:space="preserve">arameters on </w:t>
      </w:r>
      <w:r w:rsidR="00665F36">
        <w:rPr>
          <w:b/>
          <w:sz w:val="22"/>
          <w:szCs w:val="22"/>
        </w:rPr>
        <w:t>a</w:t>
      </w:r>
      <w:r w:rsidRPr="00CB0B61">
        <w:rPr>
          <w:b/>
          <w:sz w:val="22"/>
          <w:szCs w:val="22"/>
        </w:rPr>
        <w:t>dmission (n=76)</w:t>
      </w:r>
    </w:p>
    <w:tbl>
      <w:tblPr>
        <w:tblStyle w:val="TableGrid"/>
        <w:tblW w:w="6215" w:type="dxa"/>
        <w:tblLook w:val="04A0" w:firstRow="1" w:lastRow="0" w:firstColumn="1" w:lastColumn="0" w:noHBand="0" w:noVBand="1"/>
      </w:tblPr>
      <w:tblGrid>
        <w:gridCol w:w="2487"/>
        <w:gridCol w:w="1904"/>
        <w:gridCol w:w="1824"/>
      </w:tblGrid>
      <w:tr w:rsidR="00EB23B9" w:rsidRPr="00CB0B61" w:rsidTr="00BF7EFC">
        <w:tc>
          <w:tcPr>
            <w:tcW w:w="2487" w:type="dxa"/>
            <w:hideMark/>
          </w:tcPr>
          <w:p w:rsidR="00BF7EFC" w:rsidRPr="00CB0B61" w:rsidRDefault="00665F36" w:rsidP="00BF7EFC">
            <w:pPr>
              <w:spacing w:before="60" w:line="312" w:lineRule="auto"/>
              <w:jc w:val="center"/>
              <w:rPr>
                <w:rFonts w:ascii="Times New Roman" w:hAnsi="Times New Roman" w:cs="Times New Roman"/>
                <w:b/>
                <w:color w:val="1B1C1D"/>
              </w:rPr>
            </w:pPr>
            <w:r w:rsidRPr="00CB0B61">
              <w:rPr>
                <w:rFonts w:ascii="Times New Roman" w:hAnsi="Times New Roman" w:cs="Times New Roman"/>
                <w:b/>
              </w:rPr>
              <w:t>Index</w:t>
            </w:r>
          </w:p>
        </w:tc>
        <w:tc>
          <w:tcPr>
            <w:tcW w:w="1904" w:type="dxa"/>
            <w:hideMark/>
          </w:tcPr>
          <w:p w:rsidR="00EB23B9" w:rsidRPr="00CB0B61" w:rsidRDefault="00566F5B" w:rsidP="00BF7EFC">
            <w:pPr>
              <w:spacing w:before="60" w:line="312" w:lineRule="auto"/>
              <w:jc w:val="center"/>
              <w:rPr>
                <w:rFonts w:ascii="Times New Roman" w:hAnsi="Times New Roman" w:cs="Times New Roman"/>
                <w:b/>
                <w:color w:val="1B1C1D"/>
              </w:rPr>
            </w:pPr>
            <w:r w:rsidRPr="00CB0B61">
              <w:rPr>
                <w:rFonts w:ascii="Times New Roman" w:hAnsi="Times New Roman" w:cs="Times New Roman"/>
                <w:b/>
                <w:color w:val="1B1C1D"/>
              </w:rPr>
              <w:t>Median</w:t>
            </w:r>
          </w:p>
        </w:tc>
        <w:tc>
          <w:tcPr>
            <w:tcW w:w="1824" w:type="dxa"/>
            <w:hideMark/>
          </w:tcPr>
          <w:p w:rsidR="00EB23B9" w:rsidRPr="00CB0B61" w:rsidRDefault="00EB23B9" w:rsidP="00BF7EFC">
            <w:pPr>
              <w:spacing w:before="60" w:line="312" w:lineRule="auto"/>
              <w:jc w:val="center"/>
              <w:rPr>
                <w:rFonts w:ascii="Times New Roman" w:hAnsi="Times New Roman" w:cs="Times New Roman"/>
                <w:b/>
                <w:color w:val="1B1C1D"/>
              </w:rPr>
            </w:pPr>
            <w:r w:rsidRPr="00CB0B61">
              <w:rPr>
                <w:rFonts w:ascii="Times New Roman" w:hAnsi="Times New Roman" w:cs="Times New Roman"/>
                <w:b/>
                <w:color w:val="1B1C1D"/>
              </w:rPr>
              <w:t>IQR</w:t>
            </w:r>
          </w:p>
        </w:tc>
      </w:tr>
      <w:tr w:rsidR="00EB23B9" w:rsidRPr="00CB0B61" w:rsidTr="00BF7EFC">
        <w:tc>
          <w:tcPr>
            <w:tcW w:w="2487" w:type="dxa"/>
            <w:hideMark/>
          </w:tcPr>
          <w:p w:rsidR="00EB23B9" w:rsidRPr="00CB0B61" w:rsidRDefault="00566F5B" w:rsidP="00BF7EFC">
            <w:pPr>
              <w:spacing w:before="60" w:line="312" w:lineRule="auto"/>
              <w:jc w:val="both"/>
              <w:rPr>
                <w:rFonts w:ascii="Times New Roman" w:hAnsi="Times New Roman" w:cs="Times New Roman"/>
                <w:b/>
                <w:color w:val="1B1C1D"/>
              </w:rPr>
            </w:pPr>
            <w:r w:rsidRPr="00CB0B61">
              <w:rPr>
                <w:rFonts w:ascii="Times New Roman" w:hAnsi="Times New Roman" w:cs="Times New Roman"/>
                <w:b/>
              </w:rPr>
              <w:t>Hematology</w:t>
            </w:r>
          </w:p>
        </w:tc>
        <w:tc>
          <w:tcPr>
            <w:tcW w:w="1904" w:type="dxa"/>
            <w:hideMark/>
          </w:tcPr>
          <w:p w:rsidR="00EB23B9" w:rsidRPr="00CB0B61" w:rsidRDefault="00EB23B9" w:rsidP="00BF7EFC">
            <w:pPr>
              <w:spacing w:before="60" w:line="312" w:lineRule="auto"/>
              <w:jc w:val="center"/>
              <w:rPr>
                <w:rFonts w:ascii="Times New Roman" w:hAnsi="Times New Roman" w:cs="Times New Roman"/>
                <w:color w:val="1B1C1D"/>
              </w:rPr>
            </w:pPr>
          </w:p>
        </w:tc>
        <w:tc>
          <w:tcPr>
            <w:tcW w:w="1824" w:type="dxa"/>
            <w:hideMark/>
          </w:tcPr>
          <w:p w:rsidR="00EB23B9" w:rsidRPr="00CB0B61" w:rsidRDefault="00EB23B9" w:rsidP="00BF7EFC">
            <w:pPr>
              <w:spacing w:before="60" w:line="312" w:lineRule="auto"/>
              <w:jc w:val="center"/>
              <w:rPr>
                <w:rFonts w:ascii="Times New Roman" w:hAnsi="Times New Roman" w:cs="Times New Roman"/>
              </w:rPr>
            </w:pPr>
          </w:p>
        </w:tc>
      </w:tr>
      <w:tr w:rsidR="00EB23B9" w:rsidRPr="00CB0B61" w:rsidTr="00BF7EFC">
        <w:tc>
          <w:tcPr>
            <w:tcW w:w="2487" w:type="dxa"/>
            <w:hideMark/>
          </w:tcPr>
          <w:p w:rsidR="00EB23B9" w:rsidRPr="00CB0B61" w:rsidRDefault="00566F5B" w:rsidP="00BF7EFC">
            <w:pPr>
              <w:spacing w:before="60" w:line="312" w:lineRule="auto"/>
              <w:jc w:val="both"/>
              <w:rPr>
                <w:rFonts w:ascii="Times New Roman" w:hAnsi="Times New Roman" w:cs="Times New Roman"/>
                <w:color w:val="1B1C1D"/>
              </w:rPr>
            </w:pPr>
            <w:r w:rsidRPr="00CB0B61">
              <w:rPr>
                <w:rFonts w:ascii="Times New Roman" w:hAnsi="Times New Roman" w:cs="Times New Roman"/>
              </w:rPr>
              <w:t>Red Blood Cells</w:t>
            </w:r>
            <w:r w:rsidRPr="00CB0B61">
              <w:rPr>
                <w:rFonts w:ascii="Times New Roman" w:hAnsi="Times New Roman" w:cs="Times New Roman"/>
                <w:color w:val="1B1C1D"/>
              </w:rPr>
              <w:t xml:space="preserve"> </w:t>
            </w:r>
            <w:r w:rsidR="00EB23B9" w:rsidRPr="00CB0B61">
              <w:rPr>
                <w:rFonts w:ascii="Times New Roman" w:hAnsi="Times New Roman" w:cs="Times New Roman"/>
                <w:color w:val="1B1C1D"/>
              </w:rPr>
              <w:t>(T/lít)</w:t>
            </w:r>
          </w:p>
        </w:tc>
        <w:tc>
          <w:tcPr>
            <w:tcW w:w="1904"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6,24</w:t>
            </w:r>
          </w:p>
        </w:tc>
        <w:tc>
          <w:tcPr>
            <w:tcW w:w="1824"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5,7 – 6,8</w:t>
            </w:r>
          </w:p>
        </w:tc>
      </w:tr>
      <w:tr w:rsidR="00EB23B9" w:rsidRPr="00CB0B61" w:rsidTr="00BF7EFC">
        <w:tc>
          <w:tcPr>
            <w:tcW w:w="2487" w:type="dxa"/>
            <w:hideMark/>
          </w:tcPr>
          <w:p w:rsidR="00EB23B9" w:rsidRPr="00CB0B61" w:rsidRDefault="00566F5B" w:rsidP="00BF7EFC">
            <w:pPr>
              <w:spacing w:before="60" w:line="312" w:lineRule="auto"/>
              <w:jc w:val="both"/>
              <w:rPr>
                <w:rFonts w:ascii="Times New Roman" w:hAnsi="Times New Roman" w:cs="Times New Roman"/>
                <w:color w:val="1B1C1D"/>
              </w:rPr>
            </w:pPr>
            <w:r w:rsidRPr="00CB0B61">
              <w:rPr>
                <w:rFonts w:ascii="Times New Roman" w:hAnsi="Times New Roman" w:cs="Times New Roman"/>
              </w:rPr>
              <w:t>Hemoglobin</w:t>
            </w:r>
            <w:r w:rsidRPr="00CB0B61">
              <w:rPr>
                <w:rFonts w:ascii="Times New Roman" w:hAnsi="Times New Roman" w:cs="Times New Roman"/>
                <w:color w:val="1B1C1D"/>
              </w:rPr>
              <w:t xml:space="preserve"> </w:t>
            </w:r>
            <w:r w:rsidR="00EB23B9" w:rsidRPr="00CB0B61">
              <w:rPr>
                <w:rFonts w:ascii="Times New Roman" w:hAnsi="Times New Roman" w:cs="Times New Roman"/>
                <w:color w:val="1B1C1D"/>
              </w:rPr>
              <w:t>(g/lít)</w:t>
            </w:r>
          </w:p>
        </w:tc>
        <w:tc>
          <w:tcPr>
            <w:tcW w:w="1904"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180</w:t>
            </w:r>
          </w:p>
        </w:tc>
        <w:tc>
          <w:tcPr>
            <w:tcW w:w="1824"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167,5 – 196,5</w:t>
            </w:r>
          </w:p>
        </w:tc>
      </w:tr>
      <w:tr w:rsidR="00EB23B9" w:rsidRPr="00CB0B61" w:rsidTr="00BF7EFC">
        <w:tc>
          <w:tcPr>
            <w:tcW w:w="2487" w:type="dxa"/>
            <w:hideMark/>
          </w:tcPr>
          <w:p w:rsidR="00EB23B9" w:rsidRPr="00CB0B61" w:rsidRDefault="00566F5B" w:rsidP="00BF7EFC">
            <w:pPr>
              <w:spacing w:before="60" w:line="312" w:lineRule="auto"/>
              <w:jc w:val="both"/>
              <w:rPr>
                <w:rFonts w:ascii="Times New Roman" w:hAnsi="Times New Roman" w:cs="Times New Roman"/>
                <w:color w:val="1B1C1D"/>
              </w:rPr>
            </w:pPr>
            <w:r w:rsidRPr="00CB0B61">
              <w:rPr>
                <w:rFonts w:ascii="Times New Roman" w:hAnsi="Times New Roman" w:cs="Times New Roman"/>
              </w:rPr>
              <w:t>White Blood Cells</w:t>
            </w:r>
            <w:r w:rsidRPr="00CB0B61">
              <w:rPr>
                <w:rFonts w:ascii="Times New Roman" w:hAnsi="Times New Roman" w:cs="Times New Roman"/>
                <w:color w:val="1B1C1D"/>
              </w:rPr>
              <w:t xml:space="preserve"> </w:t>
            </w:r>
            <w:r w:rsidR="00EB23B9" w:rsidRPr="00CB0B61">
              <w:rPr>
                <w:rFonts w:ascii="Times New Roman" w:hAnsi="Times New Roman" w:cs="Times New Roman"/>
                <w:color w:val="1B1C1D"/>
              </w:rPr>
              <w:t>(G/lít)</w:t>
            </w:r>
          </w:p>
        </w:tc>
        <w:tc>
          <w:tcPr>
            <w:tcW w:w="1904"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28,45</w:t>
            </w:r>
          </w:p>
        </w:tc>
        <w:tc>
          <w:tcPr>
            <w:tcW w:w="1824"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20,95 – 31,4</w:t>
            </w:r>
          </w:p>
        </w:tc>
      </w:tr>
      <w:tr w:rsidR="00EB23B9" w:rsidRPr="00CB0B61" w:rsidTr="00BF7EFC">
        <w:tc>
          <w:tcPr>
            <w:tcW w:w="2487" w:type="dxa"/>
            <w:hideMark/>
          </w:tcPr>
          <w:p w:rsidR="00EB23B9" w:rsidRPr="00CB0B61" w:rsidRDefault="00EB23B9" w:rsidP="00BF7EFC">
            <w:pPr>
              <w:spacing w:before="60" w:line="312" w:lineRule="auto"/>
              <w:jc w:val="both"/>
              <w:rPr>
                <w:rFonts w:ascii="Times New Roman" w:hAnsi="Times New Roman" w:cs="Times New Roman"/>
                <w:color w:val="1B1C1D"/>
              </w:rPr>
            </w:pPr>
            <w:r w:rsidRPr="00CB0B61">
              <w:rPr>
                <w:rFonts w:ascii="Times New Roman" w:hAnsi="Times New Roman" w:cs="Times New Roman"/>
                <w:color w:val="1B1C1D"/>
              </w:rPr>
              <w:t>Hematocrit (%)</w:t>
            </w:r>
          </w:p>
        </w:tc>
        <w:tc>
          <w:tcPr>
            <w:tcW w:w="1904"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53,9</w:t>
            </w:r>
          </w:p>
        </w:tc>
        <w:tc>
          <w:tcPr>
            <w:tcW w:w="1824"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50,6 – 58,6</w:t>
            </w:r>
          </w:p>
        </w:tc>
      </w:tr>
      <w:tr w:rsidR="00EB23B9" w:rsidRPr="00CB0B61" w:rsidTr="00BF7EFC">
        <w:tc>
          <w:tcPr>
            <w:tcW w:w="2487" w:type="dxa"/>
            <w:hideMark/>
          </w:tcPr>
          <w:p w:rsidR="00EB23B9" w:rsidRPr="00CB0B61" w:rsidRDefault="00566F5B" w:rsidP="00BF7EFC">
            <w:pPr>
              <w:spacing w:before="60" w:line="312" w:lineRule="auto"/>
              <w:jc w:val="both"/>
              <w:rPr>
                <w:rFonts w:ascii="Times New Roman" w:hAnsi="Times New Roman" w:cs="Times New Roman"/>
                <w:b/>
                <w:color w:val="1B1C1D"/>
              </w:rPr>
            </w:pPr>
            <w:r w:rsidRPr="00CB0B61">
              <w:rPr>
                <w:rFonts w:ascii="Times New Roman" w:hAnsi="Times New Roman" w:cs="Times New Roman"/>
                <w:b/>
              </w:rPr>
              <w:t>Biochemistry</w:t>
            </w:r>
          </w:p>
        </w:tc>
        <w:tc>
          <w:tcPr>
            <w:tcW w:w="1904" w:type="dxa"/>
            <w:hideMark/>
          </w:tcPr>
          <w:p w:rsidR="00EB23B9" w:rsidRPr="00CB0B61" w:rsidRDefault="00EB23B9" w:rsidP="00BF7EFC">
            <w:pPr>
              <w:spacing w:before="60" w:line="312" w:lineRule="auto"/>
              <w:jc w:val="center"/>
              <w:rPr>
                <w:rFonts w:ascii="Times New Roman" w:hAnsi="Times New Roman" w:cs="Times New Roman"/>
                <w:color w:val="1B1C1D"/>
              </w:rPr>
            </w:pPr>
          </w:p>
        </w:tc>
        <w:tc>
          <w:tcPr>
            <w:tcW w:w="1824" w:type="dxa"/>
            <w:hideMark/>
          </w:tcPr>
          <w:p w:rsidR="00EB23B9" w:rsidRPr="00CB0B61" w:rsidRDefault="00EB23B9" w:rsidP="00BF7EFC">
            <w:pPr>
              <w:spacing w:before="60" w:line="312" w:lineRule="auto"/>
              <w:jc w:val="center"/>
              <w:rPr>
                <w:rFonts w:ascii="Times New Roman" w:hAnsi="Times New Roman" w:cs="Times New Roman"/>
              </w:rPr>
            </w:pPr>
          </w:p>
        </w:tc>
      </w:tr>
      <w:tr w:rsidR="00EB23B9" w:rsidRPr="00CB0B61" w:rsidTr="00BF7EFC">
        <w:tc>
          <w:tcPr>
            <w:tcW w:w="2487" w:type="dxa"/>
            <w:hideMark/>
          </w:tcPr>
          <w:p w:rsidR="00EB23B9" w:rsidRPr="00CB0B61" w:rsidRDefault="00EB23B9" w:rsidP="00BF7EFC">
            <w:pPr>
              <w:spacing w:before="60" w:line="312" w:lineRule="auto"/>
              <w:jc w:val="both"/>
              <w:rPr>
                <w:rFonts w:ascii="Times New Roman" w:hAnsi="Times New Roman" w:cs="Times New Roman"/>
                <w:color w:val="1B1C1D"/>
              </w:rPr>
            </w:pPr>
            <w:r w:rsidRPr="00CB0B61">
              <w:rPr>
                <w:rFonts w:ascii="Times New Roman" w:hAnsi="Times New Roman" w:cs="Times New Roman"/>
                <w:color w:val="1B1C1D"/>
              </w:rPr>
              <w:t>Ure</w:t>
            </w:r>
            <w:r w:rsidR="00566F5B" w:rsidRPr="00CB0B61">
              <w:rPr>
                <w:rFonts w:ascii="Times New Roman" w:hAnsi="Times New Roman" w:cs="Times New Roman"/>
                <w:color w:val="1B1C1D"/>
              </w:rPr>
              <w:t>a</w:t>
            </w:r>
            <w:r w:rsidRPr="00CB0B61">
              <w:rPr>
                <w:rFonts w:ascii="Times New Roman" w:hAnsi="Times New Roman" w:cs="Times New Roman"/>
                <w:color w:val="1B1C1D"/>
              </w:rPr>
              <w:t xml:space="preserve"> (mmol/l)</w:t>
            </w:r>
          </w:p>
        </w:tc>
        <w:tc>
          <w:tcPr>
            <w:tcW w:w="1904"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6,15</w:t>
            </w:r>
          </w:p>
        </w:tc>
        <w:tc>
          <w:tcPr>
            <w:tcW w:w="1824"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5,05 - 7,75</w:t>
            </w:r>
          </w:p>
        </w:tc>
      </w:tr>
      <w:tr w:rsidR="00EB23B9" w:rsidRPr="00CB0B61" w:rsidTr="00BF7EFC">
        <w:tc>
          <w:tcPr>
            <w:tcW w:w="2487" w:type="dxa"/>
            <w:hideMark/>
          </w:tcPr>
          <w:p w:rsidR="00EB23B9" w:rsidRPr="00CB0B61" w:rsidRDefault="00EB23B9" w:rsidP="00BF7EFC">
            <w:pPr>
              <w:spacing w:before="60" w:line="312" w:lineRule="auto"/>
              <w:jc w:val="both"/>
              <w:rPr>
                <w:rFonts w:ascii="Times New Roman" w:hAnsi="Times New Roman" w:cs="Times New Roman"/>
                <w:color w:val="1B1C1D"/>
              </w:rPr>
            </w:pPr>
            <w:r w:rsidRPr="00CB0B61">
              <w:rPr>
                <w:rFonts w:ascii="Times New Roman" w:hAnsi="Times New Roman" w:cs="Times New Roman"/>
                <w:color w:val="1B1C1D"/>
              </w:rPr>
              <w:t>Creatinin (µmol/l)</w:t>
            </w:r>
          </w:p>
        </w:tc>
        <w:tc>
          <w:tcPr>
            <w:tcW w:w="1904"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84,2</w:t>
            </w:r>
          </w:p>
        </w:tc>
        <w:tc>
          <w:tcPr>
            <w:tcW w:w="1824"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71,5 – 108,55</w:t>
            </w:r>
          </w:p>
        </w:tc>
      </w:tr>
      <w:tr w:rsidR="00EB23B9" w:rsidRPr="00CB0B61" w:rsidTr="00BF7EFC">
        <w:tc>
          <w:tcPr>
            <w:tcW w:w="2487" w:type="dxa"/>
            <w:hideMark/>
          </w:tcPr>
          <w:p w:rsidR="00EB23B9" w:rsidRPr="00CB0B61" w:rsidRDefault="00EB23B9" w:rsidP="00BF7EFC">
            <w:pPr>
              <w:spacing w:before="60" w:line="312" w:lineRule="auto"/>
              <w:jc w:val="both"/>
              <w:rPr>
                <w:rFonts w:ascii="Times New Roman" w:hAnsi="Times New Roman" w:cs="Times New Roman"/>
                <w:color w:val="1B1C1D"/>
              </w:rPr>
            </w:pPr>
            <w:r w:rsidRPr="00CB0B61">
              <w:rPr>
                <w:rFonts w:ascii="Times New Roman" w:hAnsi="Times New Roman" w:cs="Times New Roman"/>
                <w:color w:val="1B1C1D"/>
              </w:rPr>
              <w:t>Glucose (mmol/l)</w:t>
            </w:r>
          </w:p>
        </w:tc>
        <w:tc>
          <w:tcPr>
            <w:tcW w:w="1904"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9,3</w:t>
            </w:r>
          </w:p>
        </w:tc>
        <w:tc>
          <w:tcPr>
            <w:tcW w:w="1824"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7,4 – 11,3</w:t>
            </w:r>
          </w:p>
        </w:tc>
      </w:tr>
      <w:tr w:rsidR="00EB23B9" w:rsidRPr="00CB0B61" w:rsidTr="00BF7EFC">
        <w:tc>
          <w:tcPr>
            <w:tcW w:w="2487" w:type="dxa"/>
            <w:hideMark/>
          </w:tcPr>
          <w:p w:rsidR="00EB23B9" w:rsidRPr="00CB0B61" w:rsidRDefault="00EB23B9" w:rsidP="00BF7EFC">
            <w:pPr>
              <w:spacing w:before="60" w:line="312" w:lineRule="auto"/>
              <w:jc w:val="both"/>
              <w:rPr>
                <w:rFonts w:ascii="Times New Roman" w:hAnsi="Times New Roman" w:cs="Times New Roman"/>
                <w:color w:val="1B1C1D"/>
              </w:rPr>
            </w:pPr>
            <w:r w:rsidRPr="00CB0B61">
              <w:rPr>
                <w:rFonts w:ascii="Times New Roman" w:hAnsi="Times New Roman" w:cs="Times New Roman"/>
                <w:color w:val="1B1C1D"/>
              </w:rPr>
              <w:t>Procalcitonin (ng/ml)</w:t>
            </w:r>
          </w:p>
        </w:tc>
        <w:tc>
          <w:tcPr>
            <w:tcW w:w="1904"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8,22</w:t>
            </w:r>
          </w:p>
        </w:tc>
        <w:tc>
          <w:tcPr>
            <w:tcW w:w="1824"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3,41 – 17,81</w:t>
            </w:r>
          </w:p>
        </w:tc>
      </w:tr>
    </w:tbl>
    <w:p w:rsidR="00BF7EFC" w:rsidRPr="00BF7EFC" w:rsidRDefault="00BF7EFC" w:rsidP="00B06B8E">
      <w:pPr>
        <w:pStyle w:val="NormalWeb"/>
        <w:spacing w:before="0" w:beforeAutospacing="0" w:after="0" w:afterAutospacing="0" w:line="312" w:lineRule="auto"/>
        <w:ind w:firstLine="454"/>
        <w:jc w:val="both"/>
        <w:rPr>
          <w:rStyle w:val="citation-206"/>
          <w:sz w:val="8"/>
          <w:szCs w:val="22"/>
        </w:rPr>
      </w:pPr>
    </w:p>
    <w:p w:rsidR="00EB23B9" w:rsidRPr="00CB0B61" w:rsidRDefault="00566F5B" w:rsidP="00B06B8E">
      <w:pPr>
        <w:pStyle w:val="NormalWeb"/>
        <w:spacing w:before="0" w:beforeAutospacing="0" w:after="0" w:afterAutospacing="0" w:line="312" w:lineRule="auto"/>
        <w:ind w:firstLine="454"/>
        <w:jc w:val="both"/>
        <w:rPr>
          <w:color w:val="1B1C1D"/>
          <w:sz w:val="22"/>
          <w:szCs w:val="22"/>
        </w:rPr>
      </w:pPr>
      <w:r w:rsidRPr="00CB0B61">
        <w:rPr>
          <w:rStyle w:val="citation-206"/>
          <w:sz w:val="22"/>
          <w:szCs w:val="22"/>
        </w:rPr>
        <w:t>Hematological indices revealed hemoconcentration (elevated RBC, Hemoglobin, Hematocrit)</w:t>
      </w:r>
      <w:r w:rsidRPr="00CB0B61">
        <w:rPr>
          <w:sz w:val="22"/>
          <w:szCs w:val="22"/>
        </w:rPr>
        <w:t xml:space="preserve">. </w:t>
      </w:r>
      <w:r w:rsidRPr="00CB0B61">
        <w:rPr>
          <w:rStyle w:val="citation-205"/>
          <w:sz w:val="22"/>
          <w:szCs w:val="22"/>
        </w:rPr>
        <w:t>Concurrently, inflammatory markers such as White Blood Cells and Procalcitonin were high, indicating a strong systemic inflammatory response from the time of admission</w:t>
      </w:r>
      <w:r w:rsidRPr="00CB0B61">
        <w:rPr>
          <w:sz w:val="22"/>
          <w:szCs w:val="22"/>
        </w:rPr>
        <w:t xml:space="preserve">. </w:t>
      </w:r>
      <w:r w:rsidRPr="00CB0B61">
        <w:rPr>
          <w:rStyle w:val="citation-204"/>
          <w:sz w:val="22"/>
          <w:szCs w:val="22"/>
        </w:rPr>
        <w:t>These laboratory findings are characteristic of early-stage burn shock</w:t>
      </w:r>
      <w:r w:rsidRPr="00CB0B61">
        <w:rPr>
          <w:sz w:val="22"/>
          <w:szCs w:val="22"/>
        </w:rPr>
        <w:t>.</w:t>
      </w:r>
    </w:p>
    <w:p w:rsidR="00BF7EFC" w:rsidRDefault="00BF7EFC">
      <w:pPr>
        <w:rPr>
          <w:rFonts w:ascii="Times New Roman" w:eastAsia="Times New Roman" w:hAnsi="Times New Roman" w:cs="Times New Roman"/>
          <w:b/>
          <w:bCs/>
        </w:rPr>
      </w:pPr>
      <w:r>
        <w:rPr>
          <w:b/>
          <w:bCs/>
        </w:rPr>
        <w:br w:type="page"/>
      </w:r>
    </w:p>
    <w:p w:rsidR="00566F5B" w:rsidRPr="006C7A35" w:rsidRDefault="00566F5B" w:rsidP="007E39A4">
      <w:pPr>
        <w:pStyle w:val="NormalWeb"/>
        <w:spacing w:before="0" w:beforeAutospacing="0" w:after="0" w:afterAutospacing="0" w:line="312" w:lineRule="auto"/>
        <w:jc w:val="both"/>
        <w:rPr>
          <w:spacing w:val="-4"/>
          <w:sz w:val="22"/>
          <w:szCs w:val="22"/>
        </w:rPr>
      </w:pPr>
      <w:r w:rsidRPr="006C7A35">
        <w:rPr>
          <w:b/>
          <w:bCs/>
          <w:spacing w:val="-4"/>
          <w:sz w:val="22"/>
          <w:szCs w:val="22"/>
        </w:rPr>
        <w:lastRenderedPageBreak/>
        <w:t xml:space="preserve">3.2. Evaluation of the </w:t>
      </w:r>
      <w:r w:rsidR="00665F36">
        <w:rPr>
          <w:b/>
          <w:bCs/>
          <w:spacing w:val="-4"/>
          <w:sz w:val="22"/>
          <w:szCs w:val="22"/>
        </w:rPr>
        <w:t>e</w:t>
      </w:r>
      <w:r w:rsidRPr="006C7A35">
        <w:rPr>
          <w:b/>
          <w:bCs/>
          <w:spacing w:val="-4"/>
          <w:sz w:val="22"/>
          <w:szCs w:val="22"/>
        </w:rPr>
        <w:t xml:space="preserve">fficacy and </w:t>
      </w:r>
      <w:r w:rsidR="00665F36">
        <w:rPr>
          <w:b/>
          <w:bCs/>
          <w:spacing w:val="-4"/>
          <w:sz w:val="22"/>
          <w:szCs w:val="22"/>
        </w:rPr>
        <w:t>s</w:t>
      </w:r>
      <w:r w:rsidRPr="006C7A35">
        <w:rPr>
          <w:b/>
          <w:bCs/>
          <w:spacing w:val="-4"/>
          <w:sz w:val="22"/>
          <w:szCs w:val="22"/>
        </w:rPr>
        <w:t xml:space="preserve">afety of the </w:t>
      </w:r>
      <w:r w:rsidR="00665F36">
        <w:rPr>
          <w:b/>
          <w:bCs/>
          <w:spacing w:val="-4"/>
          <w:sz w:val="22"/>
          <w:szCs w:val="22"/>
        </w:rPr>
        <w:t>i</w:t>
      </w:r>
      <w:r w:rsidRPr="006C7A35">
        <w:rPr>
          <w:b/>
          <w:bCs/>
          <w:spacing w:val="-4"/>
          <w:sz w:val="22"/>
          <w:szCs w:val="22"/>
        </w:rPr>
        <w:t xml:space="preserve">ntervention </w:t>
      </w:r>
      <w:r w:rsidR="00665F36">
        <w:rPr>
          <w:b/>
          <w:bCs/>
          <w:spacing w:val="-4"/>
          <w:sz w:val="22"/>
          <w:szCs w:val="22"/>
        </w:rPr>
        <w:t>p</w:t>
      </w:r>
      <w:r w:rsidRPr="006C7A35">
        <w:rPr>
          <w:b/>
          <w:bCs/>
          <w:spacing w:val="-4"/>
          <w:sz w:val="22"/>
          <w:szCs w:val="22"/>
        </w:rPr>
        <w:t>rotocol</w:t>
      </w:r>
    </w:p>
    <w:p w:rsidR="00EB23B9" w:rsidRPr="00CB0B61" w:rsidRDefault="00566F5B" w:rsidP="00B06B8E">
      <w:pPr>
        <w:pStyle w:val="NormalWeb"/>
        <w:spacing w:before="0" w:beforeAutospacing="0" w:after="0" w:afterAutospacing="0" w:line="312" w:lineRule="auto"/>
        <w:jc w:val="center"/>
        <w:rPr>
          <w:sz w:val="22"/>
          <w:szCs w:val="22"/>
        </w:rPr>
      </w:pPr>
      <w:r w:rsidRPr="00CB0B61">
        <w:rPr>
          <w:rStyle w:val="citation-203"/>
          <w:b/>
          <w:bCs/>
          <w:sz w:val="22"/>
          <w:szCs w:val="22"/>
        </w:rPr>
        <w:t xml:space="preserve">Table 6. Baseline </w:t>
      </w:r>
      <w:r w:rsidR="00665F36">
        <w:rPr>
          <w:rStyle w:val="citation-203"/>
          <w:b/>
          <w:bCs/>
          <w:sz w:val="22"/>
          <w:szCs w:val="22"/>
        </w:rPr>
        <w:t>c</w:t>
      </w:r>
      <w:r w:rsidRPr="00CB0B61">
        <w:rPr>
          <w:rStyle w:val="citation-203"/>
          <w:b/>
          <w:bCs/>
          <w:sz w:val="22"/>
          <w:szCs w:val="22"/>
        </w:rPr>
        <w:t xml:space="preserve">haracteristics of the </w:t>
      </w:r>
      <w:r w:rsidR="00665F36">
        <w:rPr>
          <w:rStyle w:val="citation-203"/>
          <w:b/>
          <w:bCs/>
          <w:sz w:val="22"/>
          <w:szCs w:val="22"/>
        </w:rPr>
        <w:t>t</w:t>
      </w:r>
      <w:r w:rsidRPr="00CB0B61">
        <w:rPr>
          <w:rStyle w:val="citation-203"/>
          <w:b/>
          <w:bCs/>
          <w:sz w:val="22"/>
          <w:szCs w:val="22"/>
        </w:rPr>
        <w:t xml:space="preserve">wo </w:t>
      </w:r>
      <w:r w:rsidR="00665F36">
        <w:rPr>
          <w:rStyle w:val="citation-203"/>
          <w:b/>
          <w:bCs/>
          <w:sz w:val="22"/>
          <w:szCs w:val="22"/>
        </w:rPr>
        <w:t>s</w:t>
      </w:r>
      <w:r w:rsidRPr="00CB0B61">
        <w:rPr>
          <w:rStyle w:val="citation-203"/>
          <w:b/>
          <w:bCs/>
          <w:sz w:val="22"/>
          <w:szCs w:val="22"/>
        </w:rPr>
        <w:t xml:space="preserve">tudy </w:t>
      </w:r>
      <w:r w:rsidR="00665F36">
        <w:rPr>
          <w:rStyle w:val="citation-203"/>
          <w:b/>
          <w:bCs/>
          <w:sz w:val="22"/>
          <w:szCs w:val="22"/>
        </w:rPr>
        <w:t>g</w:t>
      </w:r>
      <w:r w:rsidRPr="00CB0B61">
        <w:rPr>
          <w:rStyle w:val="citation-203"/>
          <w:b/>
          <w:bCs/>
          <w:sz w:val="22"/>
          <w:szCs w:val="22"/>
        </w:rPr>
        <w:t>roups</w:t>
      </w:r>
    </w:p>
    <w:tbl>
      <w:tblPr>
        <w:tblStyle w:val="TableGrid"/>
        <w:tblW w:w="6833" w:type="dxa"/>
        <w:jc w:val="center"/>
        <w:tblLook w:val="04A0" w:firstRow="1" w:lastRow="0" w:firstColumn="1" w:lastColumn="0" w:noHBand="0" w:noVBand="1"/>
      </w:tblPr>
      <w:tblGrid>
        <w:gridCol w:w="2837"/>
        <w:gridCol w:w="1624"/>
        <w:gridCol w:w="1661"/>
        <w:gridCol w:w="711"/>
      </w:tblGrid>
      <w:tr w:rsidR="00631178" w:rsidRPr="00CB0B61" w:rsidTr="00BF7EFC">
        <w:trPr>
          <w:jc w:val="center"/>
        </w:trPr>
        <w:tc>
          <w:tcPr>
            <w:tcW w:w="2837" w:type="dxa"/>
            <w:vMerge w:val="restart"/>
            <w:hideMark/>
          </w:tcPr>
          <w:p w:rsidR="00631178" w:rsidRPr="00CB0B61" w:rsidRDefault="00631178" w:rsidP="00BF7EFC">
            <w:pPr>
              <w:spacing w:before="60" w:line="312" w:lineRule="auto"/>
              <w:jc w:val="center"/>
              <w:rPr>
                <w:rFonts w:ascii="Times New Roman" w:hAnsi="Times New Roman" w:cs="Times New Roman"/>
                <w:b/>
                <w:color w:val="1B1C1D"/>
              </w:rPr>
            </w:pPr>
          </w:p>
          <w:p w:rsidR="00631178" w:rsidRPr="00CB0B61" w:rsidRDefault="00566F5B" w:rsidP="00BF7EFC">
            <w:pPr>
              <w:spacing w:before="60" w:line="312" w:lineRule="auto"/>
              <w:jc w:val="center"/>
              <w:rPr>
                <w:rFonts w:ascii="Times New Roman" w:hAnsi="Times New Roman" w:cs="Times New Roman"/>
                <w:b/>
                <w:color w:val="1B1C1D"/>
              </w:rPr>
            </w:pPr>
            <w:r w:rsidRPr="00CB0B61">
              <w:rPr>
                <w:rFonts w:ascii="Times New Roman" w:hAnsi="Times New Roman" w:cs="Times New Roman"/>
                <w:b/>
              </w:rPr>
              <w:t>Characteristic</w:t>
            </w:r>
          </w:p>
        </w:tc>
        <w:tc>
          <w:tcPr>
            <w:tcW w:w="1624" w:type="dxa"/>
            <w:hideMark/>
          </w:tcPr>
          <w:p w:rsidR="00566F5B" w:rsidRPr="00CB0B61" w:rsidRDefault="00566F5B" w:rsidP="00BF7EFC">
            <w:pPr>
              <w:spacing w:before="60" w:line="312" w:lineRule="auto"/>
              <w:jc w:val="center"/>
              <w:rPr>
                <w:rFonts w:ascii="Times New Roman" w:hAnsi="Times New Roman" w:cs="Times New Roman"/>
                <w:b/>
                <w:color w:val="1B1C1D"/>
              </w:rPr>
            </w:pPr>
            <w:r w:rsidRPr="00CB0B61">
              <w:rPr>
                <w:rFonts w:ascii="Times New Roman" w:hAnsi="Times New Roman" w:cs="Times New Roman"/>
                <w:b/>
              </w:rPr>
              <w:t>Control Group</w:t>
            </w:r>
            <w:r w:rsidRPr="00CB0B61">
              <w:rPr>
                <w:rFonts w:ascii="Times New Roman" w:hAnsi="Times New Roman" w:cs="Times New Roman"/>
                <w:b/>
                <w:color w:val="1B1C1D"/>
              </w:rPr>
              <w:t xml:space="preserve"> </w:t>
            </w:r>
          </w:p>
          <w:p w:rsidR="00631178" w:rsidRPr="00CB0B61" w:rsidRDefault="00631178" w:rsidP="00BF7EFC">
            <w:pPr>
              <w:spacing w:before="60" w:line="312" w:lineRule="auto"/>
              <w:jc w:val="center"/>
              <w:rPr>
                <w:rFonts w:ascii="Times New Roman" w:hAnsi="Times New Roman" w:cs="Times New Roman"/>
                <w:b/>
                <w:color w:val="1B1C1D"/>
              </w:rPr>
            </w:pPr>
            <w:r w:rsidRPr="00CB0B61">
              <w:rPr>
                <w:rFonts w:ascii="Times New Roman" w:hAnsi="Times New Roman" w:cs="Times New Roman"/>
                <w:b/>
                <w:color w:val="1B1C1D"/>
              </w:rPr>
              <w:t>(n=38)</w:t>
            </w:r>
          </w:p>
        </w:tc>
        <w:tc>
          <w:tcPr>
            <w:tcW w:w="1661" w:type="dxa"/>
            <w:hideMark/>
          </w:tcPr>
          <w:p w:rsidR="00631178" w:rsidRPr="00CB0B61" w:rsidRDefault="00566F5B" w:rsidP="00BF7EFC">
            <w:pPr>
              <w:spacing w:before="60" w:line="312" w:lineRule="auto"/>
              <w:jc w:val="center"/>
              <w:rPr>
                <w:rFonts w:ascii="Times New Roman" w:hAnsi="Times New Roman" w:cs="Times New Roman"/>
                <w:b/>
                <w:color w:val="1B1C1D"/>
              </w:rPr>
            </w:pPr>
            <w:r w:rsidRPr="00CB0B61">
              <w:rPr>
                <w:rFonts w:ascii="Times New Roman" w:hAnsi="Times New Roman" w:cs="Times New Roman"/>
                <w:b/>
              </w:rPr>
              <w:t>Intervention Group</w:t>
            </w:r>
            <w:r w:rsidRPr="00CB0B61">
              <w:rPr>
                <w:rFonts w:ascii="Times New Roman" w:hAnsi="Times New Roman" w:cs="Times New Roman"/>
                <w:b/>
                <w:color w:val="1B1C1D"/>
              </w:rPr>
              <w:t xml:space="preserve"> </w:t>
            </w:r>
            <w:r w:rsidR="00631178" w:rsidRPr="00CB0B61">
              <w:rPr>
                <w:rFonts w:ascii="Times New Roman" w:hAnsi="Times New Roman" w:cs="Times New Roman"/>
                <w:b/>
                <w:color w:val="1B1C1D"/>
              </w:rPr>
              <w:t>(n=38)</w:t>
            </w:r>
          </w:p>
        </w:tc>
        <w:tc>
          <w:tcPr>
            <w:tcW w:w="0" w:type="auto"/>
            <w:hideMark/>
          </w:tcPr>
          <w:p w:rsidR="00631178" w:rsidRPr="00CB0B61" w:rsidRDefault="00631178" w:rsidP="00BF7EFC">
            <w:pPr>
              <w:spacing w:before="60" w:line="312" w:lineRule="auto"/>
              <w:jc w:val="center"/>
              <w:rPr>
                <w:rFonts w:ascii="Times New Roman" w:hAnsi="Times New Roman" w:cs="Times New Roman"/>
                <w:b/>
                <w:color w:val="1B1C1D"/>
              </w:rPr>
            </w:pPr>
            <w:r w:rsidRPr="00CB0B61">
              <w:rPr>
                <w:rFonts w:ascii="Times New Roman" w:hAnsi="Times New Roman" w:cs="Times New Roman"/>
                <w:b/>
                <w:color w:val="1B1C1D"/>
              </w:rPr>
              <w:t>p</w:t>
            </w:r>
          </w:p>
        </w:tc>
      </w:tr>
      <w:tr w:rsidR="00631178" w:rsidRPr="00CB0B61" w:rsidTr="00BF7EFC">
        <w:trPr>
          <w:jc w:val="center"/>
        </w:trPr>
        <w:tc>
          <w:tcPr>
            <w:tcW w:w="2837" w:type="dxa"/>
            <w:vMerge/>
            <w:hideMark/>
          </w:tcPr>
          <w:p w:rsidR="00631178" w:rsidRPr="00CB0B61" w:rsidRDefault="00631178" w:rsidP="00BF7EFC">
            <w:pPr>
              <w:spacing w:before="60" w:line="312" w:lineRule="auto"/>
              <w:jc w:val="both"/>
              <w:rPr>
                <w:rFonts w:ascii="Times New Roman" w:hAnsi="Times New Roman" w:cs="Times New Roman"/>
                <w:color w:val="1B1C1D"/>
              </w:rPr>
            </w:pPr>
          </w:p>
        </w:tc>
        <w:tc>
          <w:tcPr>
            <w:tcW w:w="1624" w:type="dxa"/>
            <w:hideMark/>
          </w:tcPr>
          <w:p w:rsidR="00631178" w:rsidRPr="00CB0B61" w:rsidRDefault="00566F5B" w:rsidP="00BF7EFC">
            <w:pPr>
              <w:spacing w:before="60" w:line="312" w:lineRule="auto"/>
              <w:jc w:val="center"/>
              <w:rPr>
                <w:rFonts w:ascii="Times New Roman" w:hAnsi="Times New Roman" w:cs="Times New Roman"/>
                <w:color w:val="1B1C1D"/>
              </w:rPr>
            </w:pPr>
            <w:r w:rsidRPr="00CB0B61">
              <w:rPr>
                <w:rFonts w:ascii="Times New Roman" w:hAnsi="Times New Roman" w:cs="Times New Roman"/>
                <w:b/>
                <w:bCs/>
                <w:color w:val="1B1C1D"/>
                <w:bdr w:val="none" w:sz="0" w:space="0" w:color="auto" w:frame="1"/>
              </w:rPr>
              <w:t>Median</w:t>
            </w:r>
            <w:r w:rsidR="00631178" w:rsidRPr="00CB0B61">
              <w:rPr>
                <w:rFonts w:ascii="Times New Roman" w:hAnsi="Times New Roman" w:cs="Times New Roman"/>
                <w:b/>
                <w:bCs/>
                <w:color w:val="1B1C1D"/>
                <w:bdr w:val="none" w:sz="0" w:space="0" w:color="auto" w:frame="1"/>
              </w:rPr>
              <w:t xml:space="preserve"> (IQR)</w:t>
            </w:r>
          </w:p>
        </w:tc>
        <w:tc>
          <w:tcPr>
            <w:tcW w:w="1661" w:type="dxa"/>
            <w:hideMark/>
          </w:tcPr>
          <w:p w:rsidR="00631178" w:rsidRPr="00CB0B61" w:rsidRDefault="00566F5B" w:rsidP="00BF7EFC">
            <w:pPr>
              <w:spacing w:before="60" w:line="312" w:lineRule="auto"/>
              <w:jc w:val="center"/>
              <w:rPr>
                <w:rFonts w:ascii="Times New Roman" w:hAnsi="Times New Roman" w:cs="Times New Roman"/>
                <w:color w:val="1B1C1D"/>
              </w:rPr>
            </w:pPr>
            <w:r w:rsidRPr="00CB0B61">
              <w:rPr>
                <w:rFonts w:ascii="Times New Roman" w:hAnsi="Times New Roman" w:cs="Times New Roman"/>
                <w:b/>
                <w:bCs/>
                <w:color w:val="1B1C1D"/>
                <w:bdr w:val="none" w:sz="0" w:space="0" w:color="auto" w:frame="1"/>
              </w:rPr>
              <w:t>Median</w:t>
            </w:r>
            <w:r w:rsidR="00631178" w:rsidRPr="00CB0B61">
              <w:rPr>
                <w:rFonts w:ascii="Times New Roman" w:hAnsi="Times New Roman" w:cs="Times New Roman"/>
                <w:b/>
                <w:bCs/>
                <w:color w:val="1B1C1D"/>
                <w:bdr w:val="none" w:sz="0" w:space="0" w:color="auto" w:frame="1"/>
              </w:rPr>
              <w:t xml:space="preserve"> (IQR)</w:t>
            </w:r>
          </w:p>
        </w:tc>
        <w:tc>
          <w:tcPr>
            <w:tcW w:w="0" w:type="auto"/>
            <w:hideMark/>
          </w:tcPr>
          <w:p w:rsidR="00631178" w:rsidRPr="00CB0B61" w:rsidRDefault="00631178" w:rsidP="00BF7EFC">
            <w:pPr>
              <w:spacing w:before="60" w:line="312" w:lineRule="auto"/>
              <w:jc w:val="both"/>
              <w:rPr>
                <w:rFonts w:ascii="Times New Roman" w:hAnsi="Times New Roman" w:cs="Times New Roman"/>
                <w:color w:val="1B1C1D"/>
              </w:rPr>
            </w:pPr>
          </w:p>
        </w:tc>
      </w:tr>
      <w:tr w:rsidR="00EB23B9" w:rsidRPr="00CB0B61" w:rsidTr="00BF7EFC">
        <w:trPr>
          <w:jc w:val="center"/>
        </w:trPr>
        <w:tc>
          <w:tcPr>
            <w:tcW w:w="2837" w:type="dxa"/>
            <w:hideMark/>
          </w:tcPr>
          <w:p w:rsidR="00EB23B9" w:rsidRPr="00CB0B61" w:rsidRDefault="00566F5B" w:rsidP="00BF7EFC">
            <w:pPr>
              <w:spacing w:before="60" w:line="312" w:lineRule="auto"/>
              <w:jc w:val="both"/>
              <w:rPr>
                <w:rFonts w:ascii="Times New Roman" w:hAnsi="Times New Roman" w:cs="Times New Roman"/>
                <w:color w:val="1B1C1D"/>
              </w:rPr>
            </w:pPr>
            <w:r w:rsidRPr="00CB0B61">
              <w:rPr>
                <w:rFonts w:ascii="Times New Roman" w:hAnsi="Times New Roman" w:cs="Times New Roman"/>
              </w:rPr>
              <w:t>Age (years)</w:t>
            </w:r>
          </w:p>
        </w:tc>
        <w:tc>
          <w:tcPr>
            <w:tcW w:w="1624"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37 (31 – 48)</w:t>
            </w:r>
          </w:p>
        </w:tc>
        <w:tc>
          <w:tcPr>
            <w:tcW w:w="1661"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37,5 (28 – 44)</w:t>
            </w:r>
          </w:p>
        </w:tc>
        <w:tc>
          <w:tcPr>
            <w:tcW w:w="0" w:type="auto"/>
            <w:hideMark/>
          </w:tcPr>
          <w:p w:rsidR="00EB23B9" w:rsidRPr="00CB0B61" w:rsidRDefault="00EB23B9" w:rsidP="00BF7EFC">
            <w:pPr>
              <w:spacing w:before="60" w:line="312" w:lineRule="auto"/>
              <w:jc w:val="both"/>
              <w:rPr>
                <w:rFonts w:ascii="Times New Roman" w:hAnsi="Times New Roman" w:cs="Times New Roman"/>
                <w:color w:val="1B1C1D"/>
              </w:rPr>
            </w:pPr>
            <w:r w:rsidRPr="00CB0B61">
              <w:rPr>
                <w:rFonts w:ascii="Times New Roman" w:hAnsi="Times New Roman" w:cs="Times New Roman"/>
                <w:color w:val="1B1C1D"/>
              </w:rPr>
              <w:t>0,406</w:t>
            </w:r>
          </w:p>
        </w:tc>
      </w:tr>
      <w:tr w:rsidR="00EB23B9" w:rsidRPr="00CB0B61" w:rsidTr="00BF7EFC">
        <w:trPr>
          <w:jc w:val="center"/>
        </w:trPr>
        <w:tc>
          <w:tcPr>
            <w:tcW w:w="2837" w:type="dxa"/>
            <w:hideMark/>
          </w:tcPr>
          <w:p w:rsidR="00EB23B9" w:rsidRPr="00CB0B61" w:rsidRDefault="00566F5B" w:rsidP="00BF7EFC">
            <w:pPr>
              <w:spacing w:before="60" w:line="312" w:lineRule="auto"/>
              <w:jc w:val="both"/>
              <w:rPr>
                <w:rFonts w:ascii="Times New Roman" w:hAnsi="Times New Roman" w:cs="Times New Roman"/>
                <w:color w:val="1B1C1D"/>
              </w:rPr>
            </w:pPr>
            <w:r w:rsidRPr="00CB0B61">
              <w:rPr>
                <w:rFonts w:ascii="Times New Roman" w:hAnsi="Times New Roman" w:cs="Times New Roman"/>
              </w:rPr>
              <w:t>Total Burn Surface Area (%)</w:t>
            </w:r>
          </w:p>
        </w:tc>
        <w:tc>
          <w:tcPr>
            <w:tcW w:w="1624"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70 (50 – 80)</w:t>
            </w:r>
          </w:p>
        </w:tc>
        <w:tc>
          <w:tcPr>
            <w:tcW w:w="1661"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63,5 (50 – 87)</w:t>
            </w:r>
          </w:p>
        </w:tc>
        <w:tc>
          <w:tcPr>
            <w:tcW w:w="0" w:type="auto"/>
            <w:hideMark/>
          </w:tcPr>
          <w:p w:rsidR="00EB23B9" w:rsidRPr="00CB0B61" w:rsidRDefault="00EB23B9" w:rsidP="00BF7EFC">
            <w:pPr>
              <w:spacing w:before="60" w:line="312" w:lineRule="auto"/>
              <w:jc w:val="both"/>
              <w:rPr>
                <w:rFonts w:ascii="Times New Roman" w:hAnsi="Times New Roman" w:cs="Times New Roman"/>
                <w:color w:val="1B1C1D"/>
              </w:rPr>
            </w:pPr>
            <w:r w:rsidRPr="00CB0B61">
              <w:rPr>
                <w:rFonts w:ascii="Times New Roman" w:hAnsi="Times New Roman" w:cs="Times New Roman"/>
                <w:color w:val="1B1C1D"/>
              </w:rPr>
              <w:t>0,992</w:t>
            </w:r>
          </w:p>
        </w:tc>
      </w:tr>
      <w:tr w:rsidR="00EB23B9" w:rsidRPr="00CB0B61" w:rsidTr="00BF7EFC">
        <w:trPr>
          <w:jc w:val="center"/>
        </w:trPr>
        <w:tc>
          <w:tcPr>
            <w:tcW w:w="2837" w:type="dxa"/>
            <w:hideMark/>
          </w:tcPr>
          <w:p w:rsidR="00EB23B9" w:rsidRPr="00CB0B61" w:rsidRDefault="00566F5B" w:rsidP="00BF7EFC">
            <w:pPr>
              <w:spacing w:before="60" w:line="312" w:lineRule="auto"/>
              <w:jc w:val="both"/>
              <w:rPr>
                <w:rFonts w:ascii="Times New Roman" w:hAnsi="Times New Roman" w:cs="Times New Roman"/>
                <w:color w:val="1B1C1D"/>
              </w:rPr>
            </w:pPr>
            <w:r w:rsidRPr="00CB0B61">
              <w:rPr>
                <w:rFonts w:ascii="Times New Roman" w:hAnsi="Times New Roman" w:cs="Times New Roman"/>
              </w:rPr>
              <w:t>Deep Burn Surface Area (%)</w:t>
            </w:r>
          </w:p>
        </w:tc>
        <w:tc>
          <w:tcPr>
            <w:tcW w:w="1624"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39,5 (17 – 50)</w:t>
            </w:r>
          </w:p>
        </w:tc>
        <w:tc>
          <w:tcPr>
            <w:tcW w:w="1661"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40 (17 – 55)</w:t>
            </w:r>
          </w:p>
        </w:tc>
        <w:tc>
          <w:tcPr>
            <w:tcW w:w="0" w:type="auto"/>
            <w:hideMark/>
          </w:tcPr>
          <w:p w:rsidR="00EB23B9" w:rsidRPr="00CB0B61" w:rsidRDefault="00EB23B9" w:rsidP="00BF7EFC">
            <w:pPr>
              <w:spacing w:before="60" w:line="312" w:lineRule="auto"/>
              <w:jc w:val="both"/>
              <w:rPr>
                <w:rFonts w:ascii="Times New Roman" w:hAnsi="Times New Roman" w:cs="Times New Roman"/>
                <w:color w:val="1B1C1D"/>
              </w:rPr>
            </w:pPr>
            <w:r w:rsidRPr="00CB0B61">
              <w:rPr>
                <w:rFonts w:ascii="Times New Roman" w:hAnsi="Times New Roman" w:cs="Times New Roman"/>
                <w:color w:val="1B1C1D"/>
              </w:rPr>
              <w:t>0,476</w:t>
            </w:r>
          </w:p>
        </w:tc>
      </w:tr>
      <w:tr w:rsidR="00EB23B9" w:rsidRPr="00CB0B61" w:rsidTr="00BF7EFC">
        <w:trPr>
          <w:jc w:val="center"/>
        </w:trPr>
        <w:tc>
          <w:tcPr>
            <w:tcW w:w="2837" w:type="dxa"/>
            <w:hideMark/>
          </w:tcPr>
          <w:p w:rsidR="00EB23B9" w:rsidRPr="00CB0B61" w:rsidRDefault="00566F5B" w:rsidP="00BF7EFC">
            <w:pPr>
              <w:spacing w:before="60" w:line="312" w:lineRule="auto"/>
              <w:jc w:val="both"/>
              <w:rPr>
                <w:rFonts w:ascii="Times New Roman" w:hAnsi="Times New Roman" w:cs="Times New Roman"/>
                <w:b/>
                <w:color w:val="1B1C1D"/>
              </w:rPr>
            </w:pPr>
            <w:r w:rsidRPr="00CB0B61">
              <w:rPr>
                <w:rFonts w:ascii="Times New Roman" w:hAnsi="Times New Roman" w:cs="Times New Roman"/>
                <w:b/>
              </w:rPr>
              <w:t>Inhalation Injury Severity</w:t>
            </w:r>
          </w:p>
        </w:tc>
        <w:tc>
          <w:tcPr>
            <w:tcW w:w="1624"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b/>
                <w:bCs/>
                <w:color w:val="1B1C1D"/>
                <w:bdr w:val="none" w:sz="0" w:space="0" w:color="auto" w:frame="1"/>
              </w:rPr>
              <w:t>n (%)</w:t>
            </w:r>
          </w:p>
        </w:tc>
        <w:tc>
          <w:tcPr>
            <w:tcW w:w="1661" w:type="dxa"/>
            <w:hideMark/>
          </w:tcPr>
          <w:p w:rsidR="00EB23B9" w:rsidRPr="00CB0B61" w:rsidRDefault="00EB23B9" w:rsidP="00BF7EFC">
            <w:pPr>
              <w:spacing w:before="60" w:line="312" w:lineRule="auto"/>
              <w:jc w:val="center"/>
              <w:rPr>
                <w:rFonts w:ascii="Times New Roman" w:hAnsi="Times New Roman" w:cs="Times New Roman"/>
                <w:color w:val="1B1C1D"/>
              </w:rPr>
            </w:pPr>
            <w:r w:rsidRPr="00CB0B61">
              <w:rPr>
                <w:rFonts w:ascii="Times New Roman" w:hAnsi="Times New Roman" w:cs="Times New Roman"/>
                <w:b/>
                <w:bCs/>
                <w:color w:val="1B1C1D"/>
                <w:bdr w:val="none" w:sz="0" w:space="0" w:color="auto" w:frame="1"/>
              </w:rPr>
              <w:t>n (%)</w:t>
            </w:r>
          </w:p>
        </w:tc>
        <w:tc>
          <w:tcPr>
            <w:tcW w:w="0" w:type="auto"/>
            <w:hideMark/>
          </w:tcPr>
          <w:p w:rsidR="00EB23B9" w:rsidRPr="00CB0B61" w:rsidRDefault="00EB23B9" w:rsidP="00BF7EFC">
            <w:pPr>
              <w:spacing w:before="60" w:line="312" w:lineRule="auto"/>
              <w:jc w:val="both"/>
              <w:rPr>
                <w:rFonts w:ascii="Times New Roman" w:hAnsi="Times New Roman" w:cs="Times New Roman"/>
                <w:color w:val="1B1C1D"/>
              </w:rPr>
            </w:pPr>
          </w:p>
        </w:tc>
      </w:tr>
      <w:tr w:rsidR="00631178" w:rsidRPr="00CB0B61" w:rsidTr="00BF7EFC">
        <w:trPr>
          <w:jc w:val="center"/>
        </w:trPr>
        <w:tc>
          <w:tcPr>
            <w:tcW w:w="2837" w:type="dxa"/>
            <w:hideMark/>
          </w:tcPr>
          <w:p w:rsidR="00631178" w:rsidRPr="00CB0B61" w:rsidRDefault="00566F5B" w:rsidP="00BF7EFC">
            <w:pPr>
              <w:spacing w:before="60" w:line="312" w:lineRule="auto"/>
              <w:jc w:val="both"/>
              <w:rPr>
                <w:rFonts w:ascii="Times New Roman" w:hAnsi="Times New Roman" w:cs="Times New Roman"/>
                <w:color w:val="1B1C1D"/>
              </w:rPr>
            </w:pPr>
            <w:r w:rsidRPr="00CB0B61">
              <w:rPr>
                <w:rFonts w:ascii="Times New Roman" w:hAnsi="Times New Roman" w:cs="Times New Roman"/>
              </w:rPr>
              <w:t>Grade</w:t>
            </w:r>
            <w:r w:rsidR="00631178" w:rsidRPr="00CB0B61">
              <w:rPr>
                <w:rFonts w:ascii="Times New Roman" w:hAnsi="Times New Roman" w:cs="Times New Roman"/>
                <w:color w:val="1B1C1D"/>
              </w:rPr>
              <w:t xml:space="preserve"> 1</w:t>
            </w:r>
          </w:p>
        </w:tc>
        <w:tc>
          <w:tcPr>
            <w:tcW w:w="1624" w:type="dxa"/>
            <w:hideMark/>
          </w:tcPr>
          <w:p w:rsidR="00631178" w:rsidRPr="00CB0B61" w:rsidRDefault="00631178"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11 (29)</w:t>
            </w:r>
          </w:p>
        </w:tc>
        <w:tc>
          <w:tcPr>
            <w:tcW w:w="1661" w:type="dxa"/>
            <w:hideMark/>
          </w:tcPr>
          <w:p w:rsidR="00631178" w:rsidRPr="00CB0B61" w:rsidRDefault="00631178"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8 (21)</w:t>
            </w:r>
          </w:p>
        </w:tc>
        <w:tc>
          <w:tcPr>
            <w:tcW w:w="0" w:type="auto"/>
            <w:vMerge w:val="restart"/>
            <w:hideMark/>
          </w:tcPr>
          <w:p w:rsidR="00631178" w:rsidRPr="00CB0B61" w:rsidRDefault="00631178" w:rsidP="00BF7EFC">
            <w:pPr>
              <w:spacing w:before="60" w:line="312" w:lineRule="auto"/>
              <w:jc w:val="both"/>
              <w:rPr>
                <w:rFonts w:ascii="Times New Roman" w:hAnsi="Times New Roman" w:cs="Times New Roman"/>
                <w:color w:val="1B1C1D"/>
              </w:rPr>
            </w:pPr>
          </w:p>
          <w:p w:rsidR="00631178" w:rsidRPr="00CB0B61" w:rsidRDefault="00631178" w:rsidP="00BF7EFC">
            <w:pPr>
              <w:spacing w:before="60" w:line="312" w:lineRule="auto"/>
              <w:jc w:val="both"/>
              <w:rPr>
                <w:rFonts w:ascii="Times New Roman" w:hAnsi="Times New Roman" w:cs="Times New Roman"/>
                <w:color w:val="1B1C1D"/>
              </w:rPr>
            </w:pPr>
            <w:r w:rsidRPr="00CB0B61">
              <w:rPr>
                <w:rFonts w:ascii="Times New Roman" w:hAnsi="Times New Roman" w:cs="Times New Roman"/>
                <w:color w:val="1B1C1D"/>
              </w:rPr>
              <w:t>0,795</w:t>
            </w:r>
          </w:p>
        </w:tc>
      </w:tr>
      <w:tr w:rsidR="00631178" w:rsidRPr="00CB0B61" w:rsidTr="00BF7EFC">
        <w:trPr>
          <w:jc w:val="center"/>
        </w:trPr>
        <w:tc>
          <w:tcPr>
            <w:tcW w:w="2837" w:type="dxa"/>
            <w:hideMark/>
          </w:tcPr>
          <w:p w:rsidR="00631178" w:rsidRPr="00CB0B61" w:rsidRDefault="00566F5B" w:rsidP="00BF7EFC">
            <w:pPr>
              <w:spacing w:before="60" w:line="312" w:lineRule="auto"/>
              <w:jc w:val="both"/>
              <w:rPr>
                <w:rFonts w:ascii="Times New Roman" w:hAnsi="Times New Roman" w:cs="Times New Roman"/>
                <w:color w:val="1B1C1D"/>
              </w:rPr>
            </w:pPr>
            <w:r w:rsidRPr="00CB0B61">
              <w:rPr>
                <w:rFonts w:ascii="Times New Roman" w:hAnsi="Times New Roman" w:cs="Times New Roman"/>
              </w:rPr>
              <w:t>Grade</w:t>
            </w:r>
            <w:r w:rsidR="00631178" w:rsidRPr="00CB0B61">
              <w:rPr>
                <w:rFonts w:ascii="Times New Roman" w:hAnsi="Times New Roman" w:cs="Times New Roman"/>
                <w:color w:val="1B1C1D"/>
              </w:rPr>
              <w:t xml:space="preserve"> 2</w:t>
            </w:r>
          </w:p>
        </w:tc>
        <w:tc>
          <w:tcPr>
            <w:tcW w:w="1624" w:type="dxa"/>
            <w:hideMark/>
          </w:tcPr>
          <w:p w:rsidR="00631178" w:rsidRPr="00CB0B61" w:rsidRDefault="00631178"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21 (55,2)</w:t>
            </w:r>
          </w:p>
        </w:tc>
        <w:tc>
          <w:tcPr>
            <w:tcW w:w="1661" w:type="dxa"/>
            <w:hideMark/>
          </w:tcPr>
          <w:p w:rsidR="00631178" w:rsidRPr="00CB0B61" w:rsidRDefault="00631178"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24 (63,2)</w:t>
            </w:r>
          </w:p>
        </w:tc>
        <w:tc>
          <w:tcPr>
            <w:tcW w:w="0" w:type="auto"/>
            <w:vMerge/>
            <w:hideMark/>
          </w:tcPr>
          <w:p w:rsidR="00631178" w:rsidRPr="00CB0B61" w:rsidRDefault="00631178" w:rsidP="00BF7EFC">
            <w:pPr>
              <w:spacing w:before="60" w:line="312" w:lineRule="auto"/>
              <w:jc w:val="both"/>
              <w:rPr>
                <w:rFonts w:ascii="Times New Roman" w:hAnsi="Times New Roman" w:cs="Times New Roman"/>
                <w:color w:val="1B1C1D"/>
              </w:rPr>
            </w:pPr>
          </w:p>
        </w:tc>
      </w:tr>
      <w:tr w:rsidR="00631178" w:rsidRPr="00CB0B61" w:rsidTr="00BF7EFC">
        <w:trPr>
          <w:jc w:val="center"/>
        </w:trPr>
        <w:tc>
          <w:tcPr>
            <w:tcW w:w="2837" w:type="dxa"/>
            <w:hideMark/>
          </w:tcPr>
          <w:p w:rsidR="00631178" w:rsidRPr="00CB0B61" w:rsidRDefault="00566F5B" w:rsidP="00BF7EFC">
            <w:pPr>
              <w:spacing w:before="60" w:line="312" w:lineRule="auto"/>
              <w:jc w:val="both"/>
              <w:rPr>
                <w:rFonts w:ascii="Times New Roman" w:hAnsi="Times New Roman" w:cs="Times New Roman"/>
                <w:color w:val="1B1C1D"/>
              </w:rPr>
            </w:pPr>
            <w:r w:rsidRPr="00CB0B61">
              <w:rPr>
                <w:rFonts w:ascii="Times New Roman" w:hAnsi="Times New Roman" w:cs="Times New Roman"/>
              </w:rPr>
              <w:t>Grade</w:t>
            </w:r>
            <w:r w:rsidR="00631178" w:rsidRPr="00CB0B61">
              <w:rPr>
                <w:rFonts w:ascii="Times New Roman" w:hAnsi="Times New Roman" w:cs="Times New Roman"/>
                <w:color w:val="1B1C1D"/>
              </w:rPr>
              <w:t>3</w:t>
            </w:r>
          </w:p>
        </w:tc>
        <w:tc>
          <w:tcPr>
            <w:tcW w:w="1624" w:type="dxa"/>
            <w:hideMark/>
          </w:tcPr>
          <w:p w:rsidR="00631178" w:rsidRPr="00CB0B61" w:rsidRDefault="00631178"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6 (15,8)</w:t>
            </w:r>
          </w:p>
        </w:tc>
        <w:tc>
          <w:tcPr>
            <w:tcW w:w="1661" w:type="dxa"/>
            <w:hideMark/>
          </w:tcPr>
          <w:p w:rsidR="00631178" w:rsidRPr="00CB0B61" w:rsidRDefault="00631178"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5 (13,2)</w:t>
            </w:r>
          </w:p>
        </w:tc>
        <w:tc>
          <w:tcPr>
            <w:tcW w:w="0" w:type="auto"/>
            <w:vMerge/>
            <w:hideMark/>
          </w:tcPr>
          <w:p w:rsidR="00631178" w:rsidRPr="00CB0B61" w:rsidRDefault="00631178" w:rsidP="00BF7EFC">
            <w:pPr>
              <w:spacing w:before="60" w:line="312" w:lineRule="auto"/>
              <w:jc w:val="both"/>
              <w:rPr>
                <w:rFonts w:ascii="Times New Roman" w:hAnsi="Times New Roman" w:cs="Times New Roman"/>
                <w:color w:val="1B1C1D"/>
              </w:rPr>
            </w:pPr>
          </w:p>
        </w:tc>
      </w:tr>
      <w:tr w:rsidR="00631178" w:rsidRPr="00CB0B61" w:rsidTr="00BF7EFC">
        <w:trPr>
          <w:jc w:val="center"/>
        </w:trPr>
        <w:tc>
          <w:tcPr>
            <w:tcW w:w="2837" w:type="dxa"/>
            <w:hideMark/>
          </w:tcPr>
          <w:p w:rsidR="00631178" w:rsidRPr="00CB0B61" w:rsidRDefault="00566F5B" w:rsidP="00BF7EFC">
            <w:pPr>
              <w:spacing w:before="60" w:line="312" w:lineRule="auto"/>
              <w:jc w:val="both"/>
              <w:rPr>
                <w:rFonts w:ascii="Times New Roman" w:hAnsi="Times New Roman" w:cs="Times New Roman"/>
                <w:color w:val="1B1C1D"/>
              </w:rPr>
            </w:pPr>
            <w:r w:rsidRPr="00CB0B61">
              <w:rPr>
                <w:rFonts w:ascii="Times New Roman" w:hAnsi="Times New Roman" w:cs="Times New Roman"/>
              </w:rPr>
              <w:t>Grade</w:t>
            </w:r>
            <w:r w:rsidR="00631178" w:rsidRPr="00CB0B61">
              <w:rPr>
                <w:rFonts w:ascii="Times New Roman" w:hAnsi="Times New Roman" w:cs="Times New Roman"/>
                <w:color w:val="1B1C1D"/>
              </w:rPr>
              <w:t xml:space="preserve"> 4</w:t>
            </w:r>
          </w:p>
        </w:tc>
        <w:tc>
          <w:tcPr>
            <w:tcW w:w="1624" w:type="dxa"/>
            <w:hideMark/>
          </w:tcPr>
          <w:p w:rsidR="00631178" w:rsidRPr="00CB0B61" w:rsidRDefault="00631178"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0 (0,0)</w:t>
            </w:r>
          </w:p>
        </w:tc>
        <w:tc>
          <w:tcPr>
            <w:tcW w:w="1661" w:type="dxa"/>
            <w:hideMark/>
          </w:tcPr>
          <w:p w:rsidR="00631178" w:rsidRPr="00CB0B61" w:rsidRDefault="00631178" w:rsidP="00BF7EFC">
            <w:pPr>
              <w:spacing w:before="60" w:line="312" w:lineRule="auto"/>
              <w:jc w:val="center"/>
              <w:rPr>
                <w:rFonts w:ascii="Times New Roman" w:hAnsi="Times New Roman" w:cs="Times New Roman"/>
                <w:color w:val="1B1C1D"/>
              </w:rPr>
            </w:pPr>
            <w:r w:rsidRPr="00CB0B61">
              <w:rPr>
                <w:rFonts w:ascii="Times New Roman" w:hAnsi="Times New Roman" w:cs="Times New Roman"/>
                <w:color w:val="1B1C1D"/>
              </w:rPr>
              <w:t>1 (2,6)</w:t>
            </w:r>
          </w:p>
        </w:tc>
        <w:tc>
          <w:tcPr>
            <w:tcW w:w="0" w:type="auto"/>
            <w:vMerge/>
            <w:hideMark/>
          </w:tcPr>
          <w:p w:rsidR="00631178" w:rsidRPr="00CB0B61" w:rsidRDefault="00631178" w:rsidP="00BF7EFC">
            <w:pPr>
              <w:spacing w:before="60" w:line="312" w:lineRule="auto"/>
              <w:jc w:val="both"/>
              <w:rPr>
                <w:rFonts w:ascii="Times New Roman" w:hAnsi="Times New Roman" w:cs="Times New Roman"/>
                <w:color w:val="1B1C1D"/>
              </w:rPr>
            </w:pPr>
          </w:p>
        </w:tc>
      </w:tr>
    </w:tbl>
    <w:p w:rsidR="00BF7EFC" w:rsidRPr="00BF7EFC" w:rsidRDefault="00BF7EFC" w:rsidP="00B06B8E">
      <w:pPr>
        <w:pStyle w:val="NormalWeb"/>
        <w:spacing w:before="0" w:beforeAutospacing="0" w:after="0" w:afterAutospacing="0" w:line="312" w:lineRule="auto"/>
        <w:ind w:firstLine="454"/>
        <w:jc w:val="both"/>
        <w:rPr>
          <w:rStyle w:val="citation-202"/>
          <w:sz w:val="6"/>
          <w:szCs w:val="22"/>
        </w:rPr>
      </w:pPr>
    </w:p>
    <w:p w:rsidR="00EB23B9" w:rsidRPr="00CB0B61" w:rsidRDefault="00566F5B" w:rsidP="00B06B8E">
      <w:pPr>
        <w:pStyle w:val="NormalWeb"/>
        <w:spacing w:before="0" w:beforeAutospacing="0" w:after="0" w:afterAutospacing="0" w:line="312" w:lineRule="auto"/>
        <w:ind w:firstLine="454"/>
        <w:jc w:val="both"/>
        <w:rPr>
          <w:color w:val="1B1C1D"/>
          <w:sz w:val="22"/>
          <w:szCs w:val="22"/>
        </w:rPr>
      </w:pPr>
      <w:r w:rsidRPr="00CB0B61">
        <w:rPr>
          <w:rStyle w:val="citation-202"/>
          <w:sz w:val="22"/>
          <w:szCs w:val="22"/>
        </w:rPr>
        <w:t>The control and intervention groups were well-matched at baseline in terms of age, burn size, and severity of inhalation injury (all p &gt; 0.05)</w:t>
      </w:r>
      <w:r w:rsidR="00EB23B9" w:rsidRPr="00CB0B61">
        <w:rPr>
          <w:color w:val="1B1C1D"/>
          <w:sz w:val="22"/>
          <w:szCs w:val="22"/>
        </w:rPr>
        <w:t>.</w:t>
      </w:r>
    </w:p>
    <w:p w:rsidR="00BF7EFC" w:rsidRDefault="00BF7EFC">
      <w:pPr>
        <w:rPr>
          <w:rFonts w:ascii="Times New Roman" w:eastAsia="Times New Roman" w:hAnsi="Times New Roman" w:cs="Times New Roman"/>
          <w:b/>
        </w:rPr>
      </w:pPr>
      <w:r>
        <w:rPr>
          <w:b/>
        </w:rPr>
        <w:br w:type="page"/>
      </w:r>
    </w:p>
    <w:p w:rsidR="00EB23B9" w:rsidRPr="00517E58" w:rsidRDefault="00566F5B" w:rsidP="00B06B8E">
      <w:pPr>
        <w:pStyle w:val="NormalWeb"/>
        <w:spacing w:before="0" w:beforeAutospacing="0" w:after="0" w:afterAutospacing="0" w:line="312" w:lineRule="auto"/>
        <w:jc w:val="center"/>
        <w:rPr>
          <w:b/>
          <w:sz w:val="22"/>
          <w:szCs w:val="22"/>
        </w:rPr>
      </w:pPr>
      <w:r w:rsidRPr="00517E58">
        <w:rPr>
          <w:b/>
          <w:sz w:val="22"/>
          <w:szCs w:val="22"/>
        </w:rPr>
        <w:lastRenderedPageBreak/>
        <w:t xml:space="preserve">Table 7. Progression of </w:t>
      </w:r>
      <w:r w:rsidR="00665F36">
        <w:rPr>
          <w:b/>
          <w:sz w:val="22"/>
          <w:szCs w:val="22"/>
        </w:rPr>
        <w:t>bronchoscopy</w:t>
      </w:r>
      <w:r w:rsidRPr="00517E58">
        <w:rPr>
          <w:b/>
          <w:sz w:val="22"/>
          <w:szCs w:val="22"/>
        </w:rPr>
        <w:t xml:space="preserve"> </w:t>
      </w:r>
      <w:r w:rsidR="00665F36">
        <w:rPr>
          <w:b/>
          <w:sz w:val="22"/>
          <w:szCs w:val="22"/>
        </w:rPr>
        <w:t>f</w:t>
      </w:r>
      <w:r w:rsidRPr="00517E58">
        <w:rPr>
          <w:b/>
          <w:sz w:val="22"/>
          <w:szCs w:val="22"/>
        </w:rPr>
        <w:t xml:space="preserve">indings in the </w:t>
      </w:r>
      <w:r w:rsidR="00665F36">
        <w:rPr>
          <w:b/>
          <w:sz w:val="22"/>
          <w:szCs w:val="22"/>
        </w:rPr>
        <w:t>i</w:t>
      </w:r>
      <w:r w:rsidRPr="00517E58">
        <w:rPr>
          <w:b/>
          <w:sz w:val="22"/>
          <w:szCs w:val="22"/>
        </w:rPr>
        <w:t xml:space="preserve">ntervention </w:t>
      </w:r>
      <w:r w:rsidR="00665F36">
        <w:rPr>
          <w:b/>
          <w:sz w:val="22"/>
          <w:szCs w:val="22"/>
        </w:rPr>
        <w:t>g</w:t>
      </w:r>
      <w:r w:rsidRPr="00517E58">
        <w:rPr>
          <w:b/>
          <w:sz w:val="22"/>
          <w:szCs w:val="22"/>
        </w:rPr>
        <w:t>roup</w:t>
      </w:r>
    </w:p>
    <w:tbl>
      <w:tblPr>
        <w:tblStyle w:val="TableGrid1"/>
        <w:tblW w:w="6766" w:type="dxa"/>
        <w:jc w:val="center"/>
        <w:tblLook w:val="04A0" w:firstRow="1" w:lastRow="0" w:firstColumn="1" w:lastColumn="0" w:noHBand="0" w:noVBand="1"/>
      </w:tblPr>
      <w:tblGrid>
        <w:gridCol w:w="947"/>
        <w:gridCol w:w="1414"/>
        <w:gridCol w:w="983"/>
        <w:gridCol w:w="1090"/>
        <w:gridCol w:w="1256"/>
        <w:gridCol w:w="1076"/>
      </w:tblGrid>
      <w:tr w:rsidR="00BB366A" w:rsidRPr="00CB0B61" w:rsidTr="00BF7EFC">
        <w:trPr>
          <w:jc w:val="center"/>
        </w:trPr>
        <w:tc>
          <w:tcPr>
            <w:tcW w:w="947" w:type="dxa"/>
            <w:vAlign w:val="center"/>
            <w:hideMark/>
          </w:tcPr>
          <w:p w:rsidR="00BB366A" w:rsidRPr="00CB0B61" w:rsidRDefault="00BB366A" w:rsidP="00BF7EFC">
            <w:pPr>
              <w:spacing w:before="60" w:line="312" w:lineRule="auto"/>
              <w:jc w:val="center"/>
              <w:rPr>
                <w:rFonts w:ascii="Times New Roman" w:eastAsia="Times New Roman" w:hAnsi="Times New Roman" w:cs="Times New Roman"/>
                <w:b/>
              </w:rPr>
            </w:pPr>
            <w:r w:rsidRPr="00CB0B61">
              <w:rPr>
                <w:rFonts w:ascii="Times New Roman" w:eastAsia="Times New Roman" w:hAnsi="Times New Roman" w:cs="Times New Roman"/>
                <w:b/>
              </w:rPr>
              <w:t>Follow-up Day</w:t>
            </w:r>
          </w:p>
        </w:tc>
        <w:tc>
          <w:tcPr>
            <w:tcW w:w="1414" w:type="dxa"/>
            <w:vAlign w:val="center"/>
            <w:hideMark/>
          </w:tcPr>
          <w:p w:rsidR="00BB366A" w:rsidRPr="00CB0B61" w:rsidRDefault="00BB366A" w:rsidP="00BF7EFC">
            <w:pPr>
              <w:spacing w:before="60" w:line="312" w:lineRule="auto"/>
              <w:jc w:val="center"/>
              <w:rPr>
                <w:rFonts w:ascii="Times New Roman" w:eastAsia="Times New Roman" w:hAnsi="Times New Roman" w:cs="Times New Roman"/>
                <w:b/>
              </w:rPr>
            </w:pPr>
            <w:r w:rsidRPr="00CB0B61">
              <w:rPr>
                <w:rFonts w:ascii="Times New Roman" w:eastAsia="Times New Roman" w:hAnsi="Times New Roman" w:cs="Times New Roman"/>
                <w:b/>
              </w:rPr>
              <w:t>Lesion Assessment</w:t>
            </w:r>
          </w:p>
        </w:tc>
        <w:tc>
          <w:tcPr>
            <w:tcW w:w="983" w:type="dxa"/>
            <w:vAlign w:val="center"/>
            <w:hideMark/>
          </w:tcPr>
          <w:p w:rsidR="00BB366A" w:rsidRPr="00CB0B61" w:rsidRDefault="00BB366A" w:rsidP="00BF7EFC">
            <w:pPr>
              <w:spacing w:before="60" w:line="312" w:lineRule="auto"/>
              <w:jc w:val="center"/>
              <w:rPr>
                <w:rFonts w:ascii="Times New Roman" w:eastAsia="Times New Roman" w:hAnsi="Times New Roman" w:cs="Times New Roman"/>
                <w:b/>
              </w:rPr>
            </w:pPr>
            <w:r w:rsidRPr="00CB0B61">
              <w:rPr>
                <w:rFonts w:ascii="Times New Roman" w:eastAsia="Times New Roman" w:hAnsi="Times New Roman" w:cs="Times New Roman"/>
                <w:b/>
              </w:rPr>
              <w:t>Grade 1 (n=8)</w:t>
            </w:r>
          </w:p>
          <w:p w:rsidR="00BB366A" w:rsidRPr="00CB0B61" w:rsidRDefault="00BB366A" w:rsidP="00BF7EFC">
            <w:pPr>
              <w:spacing w:before="60" w:line="312" w:lineRule="auto"/>
              <w:jc w:val="center"/>
              <w:rPr>
                <w:rFonts w:ascii="Times New Roman" w:eastAsia="Times New Roman" w:hAnsi="Times New Roman" w:cs="Times New Roman"/>
                <w:b/>
              </w:rPr>
            </w:pPr>
            <w:r w:rsidRPr="00CB0B61">
              <w:rPr>
                <w:rFonts w:ascii="Times New Roman" w:eastAsia="Times New Roman" w:hAnsi="Times New Roman" w:cs="Times New Roman"/>
                <w:b/>
              </w:rPr>
              <w:t>n (%)</w:t>
            </w:r>
          </w:p>
        </w:tc>
        <w:tc>
          <w:tcPr>
            <w:tcW w:w="1090" w:type="dxa"/>
            <w:vAlign w:val="center"/>
            <w:hideMark/>
          </w:tcPr>
          <w:p w:rsidR="00BB366A" w:rsidRPr="00CB0B61" w:rsidRDefault="00BB366A" w:rsidP="00BF7EFC">
            <w:pPr>
              <w:spacing w:before="60" w:line="312" w:lineRule="auto"/>
              <w:jc w:val="center"/>
              <w:rPr>
                <w:rFonts w:ascii="Times New Roman" w:eastAsia="Times New Roman" w:hAnsi="Times New Roman" w:cs="Times New Roman"/>
                <w:b/>
              </w:rPr>
            </w:pPr>
            <w:r w:rsidRPr="00CB0B61">
              <w:rPr>
                <w:rFonts w:ascii="Times New Roman" w:eastAsia="Times New Roman" w:hAnsi="Times New Roman" w:cs="Times New Roman"/>
                <w:b/>
              </w:rPr>
              <w:t xml:space="preserve">Grade 2 (n=24) </w:t>
            </w:r>
          </w:p>
          <w:p w:rsidR="00BB366A" w:rsidRPr="00CB0B61" w:rsidRDefault="00BB366A" w:rsidP="00BF7EFC">
            <w:pPr>
              <w:spacing w:before="60" w:line="312" w:lineRule="auto"/>
              <w:jc w:val="center"/>
              <w:rPr>
                <w:rFonts w:ascii="Times New Roman" w:eastAsia="Times New Roman" w:hAnsi="Times New Roman" w:cs="Times New Roman"/>
                <w:b/>
              </w:rPr>
            </w:pPr>
            <w:r w:rsidRPr="00CB0B61">
              <w:rPr>
                <w:rFonts w:ascii="Times New Roman" w:eastAsia="Times New Roman" w:hAnsi="Times New Roman" w:cs="Times New Roman"/>
                <w:b/>
              </w:rPr>
              <w:t>n (%)</w:t>
            </w:r>
          </w:p>
        </w:tc>
        <w:tc>
          <w:tcPr>
            <w:tcW w:w="1256" w:type="dxa"/>
            <w:vAlign w:val="center"/>
            <w:hideMark/>
          </w:tcPr>
          <w:p w:rsidR="00BB366A" w:rsidRPr="00CB0B61" w:rsidRDefault="00BB366A" w:rsidP="00BF7EFC">
            <w:pPr>
              <w:spacing w:before="60" w:line="312" w:lineRule="auto"/>
              <w:jc w:val="center"/>
              <w:rPr>
                <w:rFonts w:ascii="Times New Roman" w:eastAsia="Times New Roman" w:hAnsi="Times New Roman" w:cs="Times New Roman"/>
                <w:b/>
              </w:rPr>
            </w:pPr>
            <w:r w:rsidRPr="00CB0B61">
              <w:rPr>
                <w:rFonts w:ascii="Times New Roman" w:eastAsia="Times New Roman" w:hAnsi="Times New Roman" w:cs="Times New Roman"/>
                <w:b/>
              </w:rPr>
              <w:t xml:space="preserve">Grades 3-4 (n=6) </w:t>
            </w:r>
          </w:p>
          <w:p w:rsidR="00BB366A" w:rsidRPr="00CB0B61" w:rsidRDefault="00BB366A" w:rsidP="00BF7EFC">
            <w:pPr>
              <w:spacing w:before="60" w:line="312" w:lineRule="auto"/>
              <w:jc w:val="center"/>
              <w:rPr>
                <w:rFonts w:ascii="Times New Roman" w:eastAsia="Times New Roman" w:hAnsi="Times New Roman" w:cs="Times New Roman"/>
                <w:b/>
              </w:rPr>
            </w:pPr>
            <w:r w:rsidRPr="00CB0B61">
              <w:rPr>
                <w:rFonts w:ascii="Times New Roman" w:eastAsia="Times New Roman" w:hAnsi="Times New Roman" w:cs="Times New Roman"/>
                <w:b/>
              </w:rPr>
              <w:t>n (%)</w:t>
            </w:r>
          </w:p>
        </w:tc>
        <w:tc>
          <w:tcPr>
            <w:tcW w:w="1076" w:type="dxa"/>
            <w:vAlign w:val="center"/>
            <w:hideMark/>
          </w:tcPr>
          <w:p w:rsidR="00BB366A" w:rsidRPr="00CB0B61" w:rsidRDefault="00BB366A" w:rsidP="00BF7EFC">
            <w:pPr>
              <w:spacing w:before="60" w:line="312" w:lineRule="auto"/>
              <w:jc w:val="center"/>
              <w:rPr>
                <w:rFonts w:ascii="Times New Roman" w:eastAsia="Times New Roman" w:hAnsi="Times New Roman" w:cs="Times New Roman"/>
                <w:b/>
              </w:rPr>
            </w:pPr>
            <w:r w:rsidRPr="00CB0B61">
              <w:rPr>
                <w:rFonts w:ascii="Times New Roman" w:eastAsia="Times New Roman" w:hAnsi="Times New Roman" w:cs="Times New Roman"/>
                <w:b/>
              </w:rPr>
              <w:t xml:space="preserve">Total (n=38) </w:t>
            </w:r>
          </w:p>
          <w:p w:rsidR="00BB366A" w:rsidRPr="00CB0B61" w:rsidRDefault="00BB366A" w:rsidP="00BF7EFC">
            <w:pPr>
              <w:spacing w:before="60" w:line="312" w:lineRule="auto"/>
              <w:jc w:val="center"/>
              <w:rPr>
                <w:rFonts w:ascii="Times New Roman" w:eastAsia="Times New Roman" w:hAnsi="Times New Roman" w:cs="Times New Roman"/>
                <w:b/>
              </w:rPr>
            </w:pPr>
            <w:r w:rsidRPr="00CB0B61">
              <w:rPr>
                <w:rFonts w:ascii="Times New Roman" w:eastAsia="Times New Roman" w:hAnsi="Times New Roman" w:cs="Times New Roman"/>
                <w:b/>
              </w:rPr>
              <w:t>n (%)</w:t>
            </w:r>
          </w:p>
        </w:tc>
      </w:tr>
      <w:tr w:rsidR="00BB366A" w:rsidRPr="00CB0B61" w:rsidTr="00BF7EFC">
        <w:trPr>
          <w:jc w:val="center"/>
        </w:trPr>
        <w:tc>
          <w:tcPr>
            <w:tcW w:w="947" w:type="dxa"/>
            <w:vAlign w:val="center"/>
            <w:hideMark/>
          </w:tcPr>
          <w:p w:rsidR="00BB366A" w:rsidRPr="00CB0B61" w:rsidRDefault="00BB366A" w:rsidP="00BF7EFC">
            <w:pPr>
              <w:spacing w:before="60" w:line="312" w:lineRule="auto"/>
              <w:rPr>
                <w:rFonts w:ascii="Times New Roman" w:eastAsia="Times New Roman" w:hAnsi="Times New Roman" w:cs="Times New Roman"/>
              </w:rPr>
            </w:pPr>
            <w:r w:rsidRPr="00CB0B61">
              <w:rPr>
                <w:rFonts w:ascii="Times New Roman" w:eastAsia="Times New Roman" w:hAnsi="Times New Roman" w:cs="Times New Roman"/>
                <w:b/>
                <w:bCs/>
              </w:rPr>
              <w:t>Day 3</w:t>
            </w:r>
          </w:p>
        </w:tc>
        <w:tc>
          <w:tcPr>
            <w:tcW w:w="1414" w:type="dxa"/>
            <w:vAlign w:val="center"/>
            <w:hideMark/>
          </w:tcPr>
          <w:p w:rsidR="00BB366A" w:rsidRPr="00CB0B61" w:rsidRDefault="00BB366A" w:rsidP="00BF7EFC">
            <w:pPr>
              <w:spacing w:before="60" w:line="312" w:lineRule="auto"/>
              <w:rPr>
                <w:rFonts w:ascii="Times New Roman" w:eastAsia="Times New Roman" w:hAnsi="Times New Roman" w:cs="Times New Roman"/>
              </w:rPr>
            </w:pPr>
            <w:r w:rsidRPr="00CB0B61">
              <w:rPr>
                <w:rFonts w:ascii="Times New Roman" w:eastAsia="Times New Roman" w:hAnsi="Times New Roman" w:cs="Times New Roman"/>
              </w:rPr>
              <w:t>Inflammation</w:t>
            </w:r>
          </w:p>
        </w:tc>
        <w:tc>
          <w:tcPr>
            <w:tcW w:w="983" w:type="dxa"/>
            <w:vAlign w:val="center"/>
            <w:hideMark/>
          </w:tcPr>
          <w:p w:rsidR="00BB366A" w:rsidRPr="00CB0B61" w:rsidRDefault="00BB366A" w:rsidP="00BF7EFC">
            <w:pPr>
              <w:spacing w:before="60" w:line="312" w:lineRule="auto"/>
              <w:jc w:val="center"/>
              <w:rPr>
                <w:rFonts w:ascii="Times New Roman" w:eastAsia="Times New Roman" w:hAnsi="Times New Roman" w:cs="Times New Roman"/>
              </w:rPr>
            </w:pPr>
            <w:r w:rsidRPr="00CB0B61">
              <w:rPr>
                <w:rFonts w:ascii="Times New Roman" w:eastAsia="Times New Roman" w:hAnsi="Times New Roman" w:cs="Times New Roman"/>
              </w:rPr>
              <w:t>0 (0,0)</w:t>
            </w:r>
          </w:p>
        </w:tc>
        <w:tc>
          <w:tcPr>
            <w:tcW w:w="1090" w:type="dxa"/>
            <w:vAlign w:val="center"/>
            <w:hideMark/>
          </w:tcPr>
          <w:p w:rsidR="00BB366A" w:rsidRPr="00CB0B61" w:rsidRDefault="00BB366A" w:rsidP="00BF7EFC">
            <w:pPr>
              <w:spacing w:before="60" w:line="312" w:lineRule="auto"/>
              <w:jc w:val="center"/>
              <w:rPr>
                <w:rFonts w:ascii="Times New Roman" w:eastAsia="Times New Roman" w:hAnsi="Times New Roman" w:cs="Times New Roman"/>
              </w:rPr>
            </w:pPr>
            <w:r w:rsidRPr="00CB0B61">
              <w:rPr>
                <w:rFonts w:ascii="Times New Roman" w:eastAsia="Times New Roman" w:hAnsi="Times New Roman" w:cs="Times New Roman"/>
              </w:rPr>
              <w:t>1 (4,2)</w:t>
            </w:r>
          </w:p>
        </w:tc>
        <w:tc>
          <w:tcPr>
            <w:tcW w:w="1256" w:type="dxa"/>
            <w:vAlign w:val="center"/>
            <w:hideMark/>
          </w:tcPr>
          <w:p w:rsidR="00BB366A" w:rsidRPr="00CB0B61" w:rsidRDefault="00BB366A" w:rsidP="00BF7EFC">
            <w:pPr>
              <w:spacing w:before="60" w:line="312" w:lineRule="auto"/>
              <w:jc w:val="center"/>
              <w:rPr>
                <w:rFonts w:ascii="Times New Roman" w:eastAsia="Times New Roman" w:hAnsi="Times New Roman" w:cs="Times New Roman"/>
              </w:rPr>
            </w:pPr>
            <w:r w:rsidRPr="00CB0B61">
              <w:rPr>
                <w:rFonts w:ascii="Times New Roman" w:eastAsia="Times New Roman" w:hAnsi="Times New Roman" w:cs="Times New Roman"/>
              </w:rPr>
              <w:t>2 (33,3)</w:t>
            </w:r>
          </w:p>
        </w:tc>
        <w:tc>
          <w:tcPr>
            <w:tcW w:w="1076" w:type="dxa"/>
            <w:vAlign w:val="center"/>
            <w:hideMark/>
          </w:tcPr>
          <w:p w:rsidR="00BB366A" w:rsidRPr="00CB0B61" w:rsidRDefault="00BB366A" w:rsidP="00BF7EFC">
            <w:pPr>
              <w:spacing w:before="60" w:line="312" w:lineRule="auto"/>
              <w:jc w:val="center"/>
              <w:rPr>
                <w:rFonts w:ascii="Times New Roman" w:eastAsia="Times New Roman" w:hAnsi="Times New Roman" w:cs="Times New Roman"/>
              </w:rPr>
            </w:pPr>
            <w:r w:rsidRPr="00CB0B61">
              <w:rPr>
                <w:rFonts w:ascii="Times New Roman" w:eastAsia="Times New Roman" w:hAnsi="Times New Roman" w:cs="Times New Roman"/>
              </w:rPr>
              <w:t>3 (7,9)</w:t>
            </w:r>
          </w:p>
        </w:tc>
      </w:tr>
      <w:tr w:rsidR="00BB366A" w:rsidRPr="00CB0B61" w:rsidTr="00BF7EFC">
        <w:trPr>
          <w:jc w:val="center"/>
        </w:trPr>
        <w:tc>
          <w:tcPr>
            <w:tcW w:w="947" w:type="dxa"/>
            <w:vAlign w:val="center"/>
            <w:hideMark/>
          </w:tcPr>
          <w:p w:rsidR="00BB366A" w:rsidRPr="00CB0B61" w:rsidRDefault="00BB366A" w:rsidP="00BF7EFC">
            <w:pPr>
              <w:spacing w:before="60" w:line="312" w:lineRule="auto"/>
              <w:rPr>
                <w:rFonts w:ascii="Times New Roman" w:eastAsia="Times New Roman" w:hAnsi="Times New Roman" w:cs="Times New Roman"/>
              </w:rPr>
            </w:pPr>
          </w:p>
        </w:tc>
        <w:tc>
          <w:tcPr>
            <w:tcW w:w="1414" w:type="dxa"/>
            <w:vAlign w:val="center"/>
            <w:hideMark/>
          </w:tcPr>
          <w:p w:rsidR="00BB366A" w:rsidRPr="00CB0B61" w:rsidRDefault="00BB366A" w:rsidP="00BF7EFC">
            <w:pPr>
              <w:spacing w:before="60" w:line="312" w:lineRule="auto"/>
              <w:rPr>
                <w:rFonts w:ascii="Times New Roman" w:eastAsia="Times New Roman" w:hAnsi="Times New Roman" w:cs="Times New Roman"/>
              </w:rPr>
            </w:pPr>
            <w:r w:rsidRPr="00CB0B61">
              <w:rPr>
                <w:rFonts w:ascii="Times New Roman" w:eastAsia="Times New Roman" w:hAnsi="Times New Roman" w:cs="Times New Roman"/>
              </w:rPr>
              <w:t>Secretion Retention</w:t>
            </w:r>
          </w:p>
        </w:tc>
        <w:tc>
          <w:tcPr>
            <w:tcW w:w="983" w:type="dxa"/>
            <w:vAlign w:val="center"/>
            <w:hideMark/>
          </w:tcPr>
          <w:p w:rsidR="00BB366A" w:rsidRPr="00CB0B61" w:rsidRDefault="00BB366A" w:rsidP="00BF7EFC">
            <w:pPr>
              <w:spacing w:before="60" w:line="312" w:lineRule="auto"/>
              <w:jc w:val="center"/>
              <w:rPr>
                <w:rFonts w:ascii="Times New Roman" w:eastAsia="Times New Roman" w:hAnsi="Times New Roman" w:cs="Times New Roman"/>
              </w:rPr>
            </w:pPr>
            <w:r w:rsidRPr="00CB0B61">
              <w:rPr>
                <w:rFonts w:ascii="Times New Roman" w:eastAsia="Times New Roman" w:hAnsi="Times New Roman" w:cs="Times New Roman"/>
              </w:rPr>
              <w:t>3 (37,5)</w:t>
            </w:r>
          </w:p>
        </w:tc>
        <w:tc>
          <w:tcPr>
            <w:tcW w:w="1090" w:type="dxa"/>
            <w:vAlign w:val="center"/>
            <w:hideMark/>
          </w:tcPr>
          <w:p w:rsidR="00BB366A" w:rsidRPr="00CB0B61" w:rsidRDefault="00BB366A" w:rsidP="00BF7EFC">
            <w:pPr>
              <w:spacing w:before="60" w:line="312" w:lineRule="auto"/>
              <w:jc w:val="center"/>
              <w:rPr>
                <w:rFonts w:ascii="Times New Roman" w:eastAsia="Times New Roman" w:hAnsi="Times New Roman" w:cs="Times New Roman"/>
              </w:rPr>
            </w:pPr>
            <w:r w:rsidRPr="00CB0B61">
              <w:rPr>
                <w:rFonts w:ascii="Times New Roman" w:eastAsia="Times New Roman" w:hAnsi="Times New Roman" w:cs="Times New Roman"/>
              </w:rPr>
              <w:t>22 (91,6)</w:t>
            </w:r>
          </w:p>
        </w:tc>
        <w:tc>
          <w:tcPr>
            <w:tcW w:w="1256" w:type="dxa"/>
            <w:vAlign w:val="center"/>
            <w:hideMark/>
          </w:tcPr>
          <w:p w:rsidR="00BB366A" w:rsidRPr="00CB0B61" w:rsidRDefault="00BB366A" w:rsidP="00BF7EFC">
            <w:pPr>
              <w:spacing w:before="60" w:line="312" w:lineRule="auto"/>
              <w:jc w:val="center"/>
              <w:rPr>
                <w:rFonts w:ascii="Times New Roman" w:eastAsia="Times New Roman" w:hAnsi="Times New Roman" w:cs="Times New Roman"/>
              </w:rPr>
            </w:pPr>
            <w:r w:rsidRPr="00CB0B61">
              <w:rPr>
                <w:rFonts w:ascii="Times New Roman" w:eastAsia="Times New Roman" w:hAnsi="Times New Roman" w:cs="Times New Roman"/>
              </w:rPr>
              <w:t>4 (66,7)</w:t>
            </w:r>
          </w:p>
        </w:tc>
        <w:tc>
          <w:tcPr>
            <w:tcW w:w="1076" w:type="dxa"/>
            <w:vAlign w:val="center"/>
            <w:hideMark/>
          </w:tcPr>
          <w:p w:rsidR="00BB366A" w:rsidRPr="00CB0B61" w:rsidRDefault="00BB366A" w:rsidP="00BF7EFC">
            <w:pPr>
              <w:spacing w:before="60" w:line="312" w:lineRule="auto"/>
              <w:jc w:val="center"/>
              <w:rPr>
                <w:rFonts w:ascii="Times New Roman" w:eastAsia="Times New Roman" w:hAnsi="Times New Roman" w:cs="Times New Roman"/>
              </w:rPr>
            </w:pPr>
            <w:r w:rsidRPr="00CB0B61">
              <w:rPr>
                <w:rFonts w:ascii="Times New Roman" w:eastAsia="Times New Roman" w:hAnsi="Times New Roman" w:cs="Times New Roman"/>
              </w:rPr>
              <w:t>29 (76,3)</w:t>
            </w:r>
          </w:p>
        </w:tc>
      </w:tr>
      <w:tr w:rsidR="00BB366A" w:rsidRPr="00CB0B61" w:rsidTr="00BF7EFC">
        <w:trPr>
          <w:jc w:val="center"/>
        </w:trPr>
        <w:tc>
          <w:tcPr>
            <w:tcW w:w="947" w:type="dxa"/>
            <w:vAlign w:val="center"/>
            <w:hideMark/>
          </w:tcPr>
          <w:p w:rsidR="00BB366A" w:rsidRPr="00CB0B61" w:rsidRDefault="00BB366A" w:rsidP="00BF7EFC">
            <w:pPr>
              <w:spacing w:before="60" w:line="312" w:lineRule="auto"/>
              <w:rPr>
                <w:rFonts w:ascii="Times New Roman" w:eastAsia="Times New Roman" w:hAnsi="Times New Roman" w:cs="Times New Roman"/>
              </w:rPr>
            </w:pPr>
          </w:p>
        </w:tc>
        <w:tc>
          <w:tcPr>
            <w:tcW w:w="1414" w:type="dxa"/>
            <w:vAlign w:val="center"/>
            <w:hideMark/>
          </w:tcPr>
          <w:p w:rsidR="00BB366A" w:rsidRPr="00CB0B61" w:rsidRDefault="00BB366A" w:rsidP="00BF7EFC">
            <w:pPr>
              <w:spacing w:before="60" w:line="312" w:lineRule="auto"/>
              <w:rPr>
                <w:rFonts w:ascii="Times New Roman" w:eastAsia="Times New Roman" w:hAnsi="Times New Roman" w:cs="Times New Roman"/>
              </w:rPr>
            </w:pPr>
            <w:r w:rsidRPr="00CB0B61">
              <w:rPr>
                <w:rFonts w:ascii="Times New Roman" w:eastAsia="Times New Roman" w:hAnsi="Times New Roman" w:cs="Times New Roman"/>
              </w:rPr>
              <w:t>Clearance</w:t>
            </w:r>
          </w:p>
        </w:tc>
        <w:tc>
          <w:tcPr>
            <w:tcW w:w="983" w:type="dxa"/>
            <w:vAlign w:val="center"/>
            <w:hideMark/>
          </w:tcPr>
          <w:p w:rsidR="00BB366A" w:rsidRPr="00CB0B61" w:rsidRDefault="00BB366A" w:rsidP="00BF7EFC">
            <w:pPr>
              <w:spacing w:before="60" w:line="312" w:lineRule="auto"/>
              <w:jc w:val="center"/>
              <w:rPr>
                <w:rFonts w:ascii="Times New Roman" w:eastAsia="Times New Roman" w:hAnsi="Times New Roman" w:cs="Times New Roman"/>
              </w:rPr>
            </w:pPr>
            <w:r w:rsidRPr="00CB0B61">
              <w:rPr>
                <w:rFonts w:ascii="Times New Roman" w:eastAsia="Times New Roman" w:hAnsi="Times New Roman" w:cs="Times New Roman"/>
              </w:rPr>
              <w:t>5 (62,5)</w:t>
            </w:r>
          </w:p>
        </w:tc>
        <w:tc>
          <w:tcPr>
            <w:tcW w:w="1090" w:type="dxa"/>
            <w:vAlign w:val="center"/>
            <w:hideMark/>
          </w:tcPr>
          <w:p w:rsidR="00BB366A" w:rsidRPr="00CB0B61" w:rsidRDefault="00BB366A" w:rsidP="00BF7EFC">
            <w:pPr>
              <w:spacing w:before="60" w:line="312" w:lineRule="auto"/>
              <w:jc w:val="center"/>
              <w:rPr>
                <w:rFonts w:ascii="Times New Roman" w:eastAsia="Times New Roman" w:hAnsi="Times New Roman" w:cs="Times New Roman"/>
              </w:rPr>
            </w:pPr>
            <w:r w:rsidRPr="00CB0B61">
              <w:rPr>
                <w:rFonts w:ascii="Times New Roman" w:eastAsia="Times New Roman" w:hAnsi="Times New Roman" w:cs="Times New Roman"/>
              </w:rPr>
              <w:t>1 (4,2)</w:t>
            </w:r>
          </w:p>
        </w:tc>
        <w:tc>
          <w:tcPr>
            <w:tcW w:w="1256" w:type="dxa"/>
            <w:vAlign w:val="center"/>
            <w:hideMark/>
          </w:tcPr>
          <w:p w:rsidR="00BB366A" w:rsidRPr="00CB0B61" w:rsidRDefault="00BB366A" w:rsidP="00BF7EFC">
            <w:pPr>
              <w:spacing w:before="60" w:line="312" w:lineRule="auto"/>
              <w:jc w:val="center"/>
              <w:rPr>
                <w:rFonts w:ascii="Times New Roman" w:eastAsia="Times New Roman" w:hAnsi="Times New Roman" w:cs="Times New Roman"/>
              </w:rPr>
            </w:pPr>
            <w:r w:rsidRPr="00CB0B61">
              <w:rPr>
                <w:rFonts w:ascii="Times New Roman" w:eastAsia="Times New Roman" w:hAnsi="Times New Roman" w:cs="Times New Roman"/>
              </w:rPr>
              <w:t>0 (0,0)</w:t>
            </w:r>
          </w:p>
        </w:tc>
        <w:tc>
          <w:tcPr>
            <w:tcW w:w="1076" w:type="dxa"/>
            <w:vAlign w:val="center"/>
            <w:hideMark/>
          </w:tcPr>
          <w:p w:rsidR="00BB366A" w:rsidRPr="00CB0B61" w:rsidRDefault="00BB366A" w:rsidP="00BF7EFC">
            <w:pPr>
              <w:spacing w:before="60" w:line="312" w:lineRule="auto"/>
              <w:jc w:val="center"/>
              <w:rPr>
                <w:rFonts w:ascii="Times New Roman" w:eastAsia="Times New Roman" w:hAnsi="Times New Roman" w:cs="Times New Roman"/>
              </w:rPr>
            </w:pPr>
            <w:r w:rsidRPr="00CB0B61">
              <w:rPr>
                <w:rFonts w:ascii="Times New Roman" w:eastAsia="Times New Roman" w:hAnsi="Times New Roman" w:cs="Times New Roman"/>
              </w:rPr>
              <w:t>6 (15,8)</w:t>
            </w:r>
          </w:p>
        </w:tc>
      </w:tr>
      <w:tr w:rsidR="00BB366A" w:rsidRPr="00CB0B61" w:rsidTr="00BF7EFC">
        <w:trPr>
          <w:jc w:val="center"/>
        </w:trPr>
        <w:tc>
          <w:tcPr>
            <w:tcW w:w="947" w:type="dxa"/>
            <w:vAlign w:val="center"/>
            <w:hideMark/>
          </w:tcPr>
          <w:p w:rsidR="00BB366A" w:rsidRPr="00CB0B61" w:rsidRDefault="00BB366A" w:rsidP="00BF7EFC">
            <w:pPr>
              <w:spacing w:before="60" w:line="312" w:lineRule="auto"/>
              <w:rPr>
                <w:rFonts w:ascii="Times New Roman" w:eastAsia="Times New Roman" w:hAnsi="Times New Roman" w:cs="Times New Roman"/>
              </w:rPr>
            </w:pPr>
            <w:r w:rsidRPr="00CB0B61">
              <w:rPr>
                <w:rFonts w:ascii="Times New Roman" w:eastAsia="Times New Roman" w:hAnsi="Times New Roman" w:cs="Times New Roman"/>
                <w:b/>
                <w:bCs/>
              </w:rPr>
              <w:t>Day 5</w:t>
            </w:r>
          </w:p>
        </w:tc>
        <w:tc>
          <w:tcPr>
            <w:tcW w:w="1414" w:type="dxa"/>
            <w:vAlign w:val="center"/>
            <w:hideMark/>
          </w:tcPr>
          <w:p w:rsidR="00BB366A" w:rsidRPr="00CB0B61" w:rsidRDefault="00BB366A" w:rsidP="00BF7EFC">
            <w:pPr>
              <w:spacing w:before="60" w:line="312" w:lineRule="auto"/>
              <w:rPr>
                <w:rFonts w:ascii="Times New Roman" w:eastAsia="Times New Roman" w:hAnsi="Times New Roman" w:cs="Times New Roman"/>
              </w:rPr>
            </w:pPr>
            <w:r w:rsidRPr="00CB0B61">
              <w:rPr>
                <w:rFonts w:ascii="Times New Roman" w:eastAsia="Times New Roman" w:hAnsi="Times New Roman" w:cs="Times New Roman"/>
              </w:rPr>
              <w:t>Inflammation</w:t>
            </w:r>
          </w:p>
        </w:tc>
        <w:tc>
          <w:tcPr>
            <w:tcW w:w="983" w:type="dxa"/>
            <w:vAlign w:val="center"/>
            <w:hideMark/>
          </w:tcPr>
          <w:p w:rsidR="00BB366A" w:rsidRPr="00CB0B61" w:rsidRDefault="00BB366A" w:rsidP="00BF7EFC">
            <w:pPr>
              <w:spacing w:before="60" w:line="312" w:lineRule="auto"/>
              <w:jc w:val="center"/>
              <w:rPr>
                <w:rFonts w:ascii="Times New Roman" w:eastAsia="Times New Roman" w:hAnsi="Times New Roman" w:cs="Times New Roman"/>
              </w:rPr>
            </w:pPr>
            <w:r w:rsidRPr="00CB0B61">
              <w:rPr>
                <w:rFonts w:ascii="Times New Roman" w:eastAsia="Times New Roman" w:hAnsi="Times New Roman" w:cs="Times New Roman"/>
              </w:rPr>
              <w:t>0 (0,0)</w:t>
            </w:r>
          </w:p>
        </w:tc>
        <w:tc>
          <w:tcPr>
            <w:tcW w:w="1090" w:type="dxa"/>
            <w:vAlign w:val="center"/>
            <w:hideMark/>
          </w:tcPr>
          <w:p w:rsidR="00BB366A" w:rsidRPr="00CB0B61" w:rsidRDefault="00BB366A" w:rsidP="00BF7EFC">
            <w:pPr>
              <w:spacing w:before="60" w:line="312" w:lineRule="auto"/>
              <w:jc w:val="center"/>
              <w:rPr>
                <w:rFonts w:ascii="Times New Roman" w:eastAsia="Times New Roman" w:hAnsi="Times New Roman" w:cs="Times New Roman"/>
              </w:rPr>
            </w:pPr>
            <w:r w:rsidRPr="00CB0B61">
              <w:rPr>
                <w:rFonts w:ascii="Times New Roman" w:eastAsia="Times New Roman" w:hAnsi="Times New Roman" w:cs="Times New Roman"/>
              </w:rPr>
              <w:t>13 (54,2)</w:t>
            </w:r>
          </w:p>
        </w:tc>
        <w:tc>
          <w:tcPr>
            <w:tcW w:w="1256" w:type="dxa"/>
            <w:vAlign w:val="center"/>
            <w:hideMark/>
          </w:tcPr>
          <w:p w:rsidR="00BB366A" w:rsidRPr="00CB0B61" w:rsidRDefault="00BB366A" w:rsidP="00BF7EFC">
            <w:pPr>
              <w:spacing w:before="60" w:line="312" w:lineRule="auto"/>
              <w:jc w:val="center"/>
              <w:rPr>
                <w:rFonts w:ascii="Times New Roman" w:eastAsia="Times New Roman" w:hAnsi="Times New Roman" w:cs="Times New Roman"/>
              </w:rPr>
            </w:pPr>
            <w:r w:rsidRPr="00CB0B61">
              <w:rPr>
                <w:rFonts w:ascii="Times New Roman" w:eastAsia="Times New Roman" w:hAnsi="Times New Roman" w:cs="Times New Roman"/>
              </w:rPr>
              <w:t>4 (66,7)</w:t>
            </w:r>
          </w:p>
        </w:tc>
        <w:tc>
          <w:tcPr>
            <w:tcW w:w="1076" w:type="dxa"/>
            <w:vAlign w:val="center"/>
            <w:hideMark/>
          </w:tcPr>
          <w:p w:rsidR="00BB366A" w:rsidRPr="00CB0B61" w:rsidRDefault="00BB366A" w:rsidP="00BF7EFC">
            <w:pPr>
              <w:spacing w:before="60" w:line="312" w:lineRule="auto"/>
              <w:jc w:val="center"/>
              <w:rPr>
                <w:rFonts w:ascii="Times New Roman" w:eastAsia="Times New Roman" w:hAnsi="Times New Roman" w:cs="Times New Roman"/>
              </w:rPr>
            </w:pPr>
            <w:r w:rsidRPr="00CB0B61">
              <w:rPr>
                <w:rFonts w:ascii="Times New Roman" w:eastAsia="Times New Roman" w:hAnsi="Times New Roman" w:cs="Times New Roman"/>
              </w:rPr>
              <w:t>17 (44,7)</w:t>
            </w:r>
          </w:p>
        </w:tc>
      </w:tr>
      <w:tr w:rsidR="00BB366A" w:rsidRPr="00CB0B61" w:rsidTr="00BF7EFC">
        <w:trPr>
          <w:jc w:val="center"/>
        </w:trPr>
        <w:tc>
          <w:tcPr>
            <w:tcW w:w="947" w:type="dxa"/>
            <w:vAlign w:val="center"/>
            <w:hideMark/>
          </w:tcPr>
          <w:p w:rsidR="00BB366A" w:rsidRPr="00CB0B61" w:rsidRDefault="00BB366A" w:rsidP="00BF7EFC">
            <w:pPr>
              <w:spacing w:before="60" w:line="312" w:lineRule="auto"/>
              <w:rPr>
                <w:rFonts w:ascii="Times New Roman" w:eastAsia="Times New Roman" w:hAnsi="Times New Roman" w:cs="Times New Roman"/>
              </w:rPr>
            </w:pPr>
          </w:p>
        </w:tc>
        <w:tc>
          <w:tcPr>
            <w:tcW w:w="1414" w:type="dxa"/>
            <w:vAlign w:val="center"/>
            <w:hideMark/>
          </w:tcPr>
          <w:p w:rsidR="00BB366A" w:rsidRPr="00CB0B61" w:rsidRDefault="00BB366A" w:rsidP="00BF7EFC">
            <w:pPr>
              <w:spacing w:before="60" w:line="312" w:lineRule="auto"/>
              <w:rPr>
                <w:rFonts w:ascii="Times New Roman" w:eastAsia="Times New Roman" w:hAnsi="Times New Roman" w:cs="Times New Roman"/>
              </w:rPr>
            </w:pPr>
            <w:r w:rsidRPr="00CB0B61">
              <w:rPr>
                <w:rFonts w:ascii="Times New Roman" w:eastAsia="Times New Roman" w:hAnsi="Times New Roman" w:cs="Times New Roman"/>
              </w:rPr>
              <w:t>Secretion Retention</w:t>
            </w:r>
          </w:p>
        </w:tc>
        <w:tc>
          <w:tcPr>
            <w:tcW w:w="983" w:type="dxa"/>
            <w:vAlign w:val="center"/>
            <w:hideMark/>
          </w:tcPr>
          <w:p w:rsidR="00BB366A" w:rsidRPr="00CB0B61" w:rsidRDefault="00BB366A" w:rsidP="00BF7EFC">
            <w:pPr>
              <w:spacing w:before="60" w:line="312" w:lineRule="auto"/>
              <w:jc w:val="center"/>
              <w:rPr>
                <w:rFonts w:ascii="Times New Roman" w:eastAsia="Times New Roman" w:hAnsi="Times New Roman" w:cs="Times New Roman"/>
              </w:rPr>
            </w:pPr>
            <w:r w:rsidRPr="00CB0B61">
              <w:rPr>
                <w:rFonts w:ascii="Times New Roman" w:eastAsia="Times New Roman" w:hAnsi="Times New Roman" w:cs="Times New Roman"/>
              </w:rPr>
              <w:t>4 (50,0)</w:t>
            </w:r>
          </w:p>
        </w:tc>
        <w:tc>
          <w:tcPr>
            <w:tcW w:w="1090" w:type="dxa"/>
            <w:vAlign w:val="center"/>
            <w:hideMark/>
          </w:tcPr>
          <w:p w:rsidR="00BB366A" w:rsidRPr="00CB0B61" w:rsidRDefault="00BB366A" w:rsidP="00BF7EFC">
            <w:pPr>
              <w:spacing w:before="60" w:line="312" w:lineRule="auto"/>
              <w:jc w:val="center"/>
              <w:rPr>
                <w:rFonts w:ascii="Times New Roman" w:eastAsia="Times New Roman" w:hAnsi="Times New Roman" w:cs="Times New Roman"/>
              </w:rPr>
            </w:pPr>
            <w:r w:rsidRPr="00CB0B61">
              <w:rPr>
                <w:rFonts w:ascii="Times New Roman" w:eastAsia="Times New Roman" w:hAnsi="Times New Roman" w:cs="Times New Roman"/>
              </w:rPr>
              <w:t>11 (45,8)</w:t>
            </w:r>
          </w:p>
        </w:tc>
        <w:tc>
          <w:tcPr>
            <w:tcW w:w="1256" w:type="dxa"/>
            <w:vAlign w:val="center"/>
            <w:hideMark/>
          </w:tcPr>
          <w:p w:rsidR="00BB366A" w:rsidRPr="00CB0B61" w:rsidRDefault="00BB366A" w:rsidP="00BF7EFC">
            <w:pPr>
              <w:spacing w:before="60" w:line="312" w:lineRule="auto"/>
              <w:jc w:val="center"/>
              <w:rPr>
                <w:rFonts w:ascii="Times New Roman" w:eastAsia="Times New Roman" w:hAnsi="Times New Roman" w:cs="Times New Roman"/>
              </w:rPr>
            </w:pPr>
            <w:r w:rsidRPr="00CB0B61">
              <w:rPr>
                <w:rFonts w:ascii="Times New Roman" w:eastAsia="Times New Roman" w:hAnsi="Times New Roman" w:cs="Times New Roman"/>
              </w:rPr>
              <w:t>2 (33,3)</w:t>
            </w:r>
          </w:p>
        </w:tc>
        <w:tc>
          <w:tcPr>
            <w:tcW w:w="1076" w:type="dxa"/>
            <w:vAlign w:val="center"/>
            <w:hideMark/>
          </w:tcPr>
          <w:p w:rsidR="00BB366A" w:rsidRPr="00CB0B61" w:rsidRDefault="00BB366A" w:rsidP="00BF7EFC">
            <w:pPr>
              <w:spacing w:before="60" w:line="312" w:lineRule="auto"/>
              <w:jc w:val="center"/>
              <w:rPr>
                <w:rFonts w:ascii="Times New Roman" w:eastAsia="Times New Roman" w:hAnsi="Times New Roman" w:cs="Times New Roman"/>
              </w:rPr>
            </w:pPr>
            <w:r w:rsidRPr="00CB0B61">
              <w:rPr>
                <w:rFonts w:ascii="Times New Roman" w:eastAsia="Times New Roman" w:hAnsi="Times New Roman" w:cs="Times New Roman"/>
              </w:rPr>
              <w:t>17 (44,7)</w:t>
            </w:r>
          </w:p>
        </w:tc>
      </w:tr>
      <w:tr w:rsidR="00BB366A" w:rsidRPr="00CB0B61" w:rsidTr="00BF7EFC">
        <w:trPr>
          <w:jc w:val="center"/>
        </w:trPr>
        <w:tc>
          <w:tcPr>
            <w:tcW w:w="947" w:type="dxa"/>
            <w:vAlign w:val="center"/>
            <w:hideMark/>
          </w:tcPr>
          <w:p w:rsidR="00BB366A" w:rsidRPr="00CB0B61" w:rsidRDefault="00BB366A" w:rsidP="00BF7EFC">
            <w:pPr>
              <w:spacing w:before="60" w:line="312" w:lineRule="auto"/>
              <w:rPr>
                <w:rFonts w:ascii="Times New Roman" w:eastAsia="Times New Roman" w:hAnsi="Times New Roman" w:cs="Times New Roman"/>
              </w:rPr>
            </w:pPr>
          </w:p>
        </w:tc>
        <w:tc>
          <w:tcPr>
            <w:tcW w:w="1414" w:type="dxa"/>
            <w:vAlign w:val="center"/>
            <w:hideMark/>
          </w:tcPr>
          <w:p w:rsidR="00BB366A" w:rsidRPr="00CB0B61" w:rsidRDefault="00BB366A" w:rsidP="00BF7EFC">
            <w:pPr>
              <w:spacing w:before="60" w:line="312" w:lineRule="auto"/>
              <w:rPr>
                <w:rFonts w:ascii="Times New Roman" w:eastAsia="Times New Roman" w:hAnsi="Times New Roman" w:cs="Times New Roman"/>
              </w:rPr>
            </w:pPr>
            <w:r w:rsidRPr="00CB0B61">
              <w:rPr>
                <w:rFonts w:ascii="Times New Roman" w:eastAsia="Times New Roman" w:hAnsi="Times New Roman" w:cs="Times New Roman"/>
              </w:rPr>
              <w:t>Clearance</w:t>
            </w:r>
          </w:p>
        </w:tc>
        <w:tc>
          <w:tcPr>
            <w:tcW w:w="983" w:type="dxa"/>
            <w:vAlign w:val="center"/>
            <w:hideMark/>
          </w:tcPr>
          <w:p w:rsidR="00BB366A" w:rsidRPr="00CB0B61" w:rsidRDefault="00BB366A" w:rsidP="00BF7EFC">
            <w:pPr>
              <w:spacing w:before="60" w:line="312" w:lineRule="auto"/>
              <w:jc w:val="center"/>
              <w:rPr>
                <w:rFonts w:ascii="Times New Roman" w:eastAsia="Times New Roman" w:hAnsi="Times New Roman" w:cs="Times New Roman"/>
              </w:rPr>
            </w:pPr>
            <w:r w:rsidRPr="00CB0B61">
              <w:rPr>
                <w:rFonts w:ascii="Times New Roman" w:eastAsia="Times New Roman" w:hAnsi="Times New Roman" w:cs="Times New Roman"/>
              </w:rPr>
              <w:t>4 (50,0)</w:t>
            </w:r>
          </w:p>
        </w:tc>
        <w:tc>
          <w:tcPr>
            <w:tcW w:w="1090" w:type="dxa"/>
            <w:vAlign w:val="center"/>
            <w:hideMark/>
          </w:tcPr>
          <w:p w:rsidR="00BB366A" w:rsidRPr="00CB0B61" w:rsidRDefault="00BB366A" w:rsidP="00BF7EFC">
            <w:pPr>
              <w:spacing w:before="60" w:line="312" w:lineRule="auto"/>
              <w:jc w:val="center"/>
              <w:rPr>
                <w:rFonts w:ascii="Times New Roman" w:eastAsia="Times New Roman" w:hAnsi="Times New Roman" w:cs="Times New Roman"/>
              </w:rPr>
            </w:pPr>
            <w:r w:rsidRPr="00CB0B61">
              <w:rPr>
                <w:rFonts w:ascii="Times New Roman" w:eastAsia="Times New Roman" w:hAnsi="Times New Roman" w:cs="Times New Roman"/>
              </w:rPr>
              <w:t>0 (0,0)</w:t>
            </w:r>
          </w:p>
        </w:tc>
        <w:tc>
          <w:tcPr>
            <w:tcW w:w="1256" w:type="dxa"/>
            <w:vAlign w:val="center"/>
            <w:hideMark/>
          </w:tcPr>
          <w:p w:rsidR="00BB366A" w:rsidRPr="00CB0B61" w:rsidRDefault="00BB366A" w:rsidP="00BF7EFC">
            <w:pPr>
              <w:spacing w:before="60" w:line="312" w:lineRule="auto"/>
              <w:jc w:val="center"/>
              <w:rPr>
                <w:rFonts w:ascii="Times New Roman" w:eastAsia="Times New Roman" w:hAnsi="Times New Roman" w:cs="Times New Roman"/>
              </w:rPr>
            </w:pPr>
            <w:r w:rsidRPr="00CB0B61">
              <w:rPr>
                <w:rFonts w:ascii="Times New Roman" w:eastAsia="Times New Roman" w:hAnsi="Times New Roman" w:cs="Times New Roman"/>
              </w:rPr>
              <w:t>0 (0,0)</w:t>
            </w:r>
          </w:p>
        </w:tc>
        <w:tc>
          <w:tcPr>
            <w:tcW w:w="1076" w:type="dxa"/>
            <w:vAlign w:val="center"/>
            <w:hideMark/>
          </w:tcPr>
          <w:p w:rsidR="00BB366A" w:rsidRPr="00CB0B61" w:rsidRDefault="00BB366A" w:rsidP="00BF7EFC">
            <w:pPr>
              <w:spacing w:before="60" w:line="312" w:lineRule="auto"/>
              <w:jc w:val="center"/>
              <w:rPr>
                <w:rFonts w:ascii="Times New Roman" w:eastAsia="Times New Roman" w:hAnsi="Times New Roman" w:cs="Times New Roman"/>
              </w:rPr>
            </w:pPr>
            <w:r w:rsidRPr="00CB0B61">
              <w:rPr>
                <w:rFonts w:ascii="Times New Roman" w:eastAsia="Times New Roman" w:hAnsi="Times New Roman" w:cs="Times New Roman"/>
              </w:rPr>
              <w:t>4 (10,5)</w:t>
            </w:r>
          </w:p>
        </w:tc>
      </w:tr>
      <w:tr w:rsidR="00BB366A" w:rsidRPr="00CB0B61" w:rsidTr="00BF7EFC">
        <w:trPr>
          <w:jc w:val="center"/>
        </w:trPr>
        <w:tc>
          <w:tcPr>
            <w:tcW w:w="947" w:type="dxa"/>
            <w:vAlign w:val="center"/>
            <w:hideMark/>
          </w:tcPr>
          <w:p w:rsidR="00BB366A" w:rsidRPr="00CB0B61" w:rsidRDefault="00BB366A" w:rsidP="00BF7EFC">
            <w:pPr>
              <w:spacing w:before="60" w:line="312" w:lineRule="auto"/>
              <w:rPr>
                <w:rFonts w:ascii="Times New Roman" w:eastAsia="Times New Roman" w:hAnsi="Times New Roman" w:cs="Times New Roman"/>
              </w:rPr>
            </w:pPr>
            <w:r w:rsidRPr="00CB0B61">
              <w:rPr>
                <w:rFonts w:ascii="Times New Roman" w:eastAsia="Times New Roman" w:hAnsi="Times New Roman" w:cs="Times New Roman"/>
                <w:b/>
                <w:bCs/>
              </w:rPr>
              <w:t>Day 7</w:t>
            </w:r>
          </w:p>
        </w:tc>
        <w:tc>
          <w:tcPr>
            <w:tcW w:w="1414" w:type="dxa"/>
            <w:vAlign w:val="center"/>
            <w:hideMark/>
          </w:tcPr>
          <w:p w:rsidR="00BB366A" w:rsidRPr="00CB0B61" w:rsidRDefault="00BB366A" w:rsidP="00BF7EFC">
            <w:pPr>
              <w:spacing w:before="60" w:line="312" w:lineRule="auto"/>
              <w:rPr>
                <w:rFonts w:ascii="Times New Roman" w:eastAsia="Times New Roman" w:hAnsi="Times New Roman" w:cs="Times New Roman"/>
              </w:rPr>
            </w:pPr>
            <w:r w:rsidRPr="00CB0B61">
              <w:rPr>
                <w:rFonts w:ascii="Times New Roman" w:eastAsia="Times New Roman" w:hAnsi="Times New Roman" w:cs="Times New Roman"/>
              </w:rPr>
              <w:t>Inflammation</w:t>
            </w:r>
          </w:p>
        </w:tc>
        <w:tc>
          <w:tcPr>
            <w:tcW w:w="983" w:type="dxa"/>
            <w:vAlign w:val="center"/>
            <w:hideMark/>
          </w:tcPr>
          <w:p w:rsidR="00BB366A" w:rsidRPr="00CB0B61" w:rsidRDefault="00BB366A" w:rsidP="00BF7EFC">
            <w:pPr>
              <w:spacing w:before="60" w:line="312" w:lineRule="auto"/>
              <w:jc w:val="center"/>
              <w:rPr>
                <w:rFonts w:ascii="Times New Roman" w:eastAsia="Times New Roman" w:hAnsi="Times New Roman" w:cs="Times New Roman"/>
              </w:rPr>
            </w:pPr>
            <w:r w:rsidRPr="00CB0B61">
              <w:rPr>
                <w:rFonts w:ascii="Times New Roman" w:eastAsia="Times New Roman" w:hAnsi="Times New Roman" w:cs="Times New Roman"/>
              </w:rPr>
              <w:t>1 (12,5)</w:t>
            </w:r>
          </w:p>
        </w:tc>
        <w:tc>
          <w:tcPr>
            <w:tcW w:w="1090" w:type="dxa"/>
            <w:vAlign w:val="center"/>
            <w:hideMark/>
          </w:tcPr>
          <w:p w:rsidR="00BB366A" w:rsidRPr="00CB0B61" w:rsidRDefault="00BB366A" w:rsidP="00BF7EFC">
            <w:pPr>
              <w:spacing w:before="60" w:line="312" w:lineRule="auto"/>
              <w:jc w:val="center"/>
              <w:rPr>
                <w:rFonts w:ascii="Times New Roman" w:eastAsia="Times New Roman" w:hAnsi="Times New Roman" w:cs="Times New Roman"/>
              </w:rPr>
            </w:pPr>
            <w:r w:rsidRPr="00CB0B61">
              <w:rPr>
                <w:rFonts w:ascii="Times New Roman" w:eastAsia="Times New Roman" w:hAnsi="Times New Roman" w:cs="Times New Roman"/>
              </w:rPr>
              <w:t>13 (54,2)</w:t>
            </w:r>
          </w:p>
        </w:tc>
        <w:tc>
          <w:tcPr>
            <w:tcW w:w="1256" w:type="dxa"/>
            <w:vAlign w:val="center"/>
            <w:hideMark/>
          </w:tcPr>
          <w:p w:rsidR="00BB366A" w:rsidRPr="00CB0B61" w:rsidRDefault="00BB366A" w:rsidP="00BF7EFC">
            <w:pPr>
              <w:spacing w:before="60" w:line="312" w:lineRule="auto"/>
              <w:jc w:val="center"/>
              <w:rPr>
                <w:rFonts w:ascii="Times New Roman" w:eastAsia="Times New Roman" w:hAnsi="Times New Roman" w:cs="Times New Roman"/>
              </w:rPr>
            </w:pPr>
            <w:r w:rsidRPr="00CB0B61">
              <w:rPr>
                <w:rFonts w:ascii="Times New Roman" w:eastAsia="Times New Roman" w:hAnsi="Times New Roman" w:cs="Times New Roman"/>
              </w:rPr>
              <w:t>6 (100,0)</w:t>
            </w:r>
          </w:p>
        </w:tc>
        <w:tc>
          <w:tcPr>
            <w:tcW w:w="1076" w:type="dxa"/>
            <w:vAlign w:val="center"/>
            <w:hideMark/>
          </w:tcPr>
          <w:p w:rsidR="00BB366A" w:rsidRPr="00CB0B61" w:rsidRDefault="00BB366A" w:rsidP="00BF7EFC">
            <w:pPr>
              <w:spacing w:before="60" w:line="312" w:lineRule="auto"/>
              <w:jc w:val="center"/>
              <w:rPr>
                <w:rFonts w:ascii="Times New Roman" w:eastAsia="Times New Roman" w:hAnsi="Times New Roman" w:cs="Times New Roman"/>
              </w:rPr>
            </w:pPr>
            <w:r w:rsidRPr="00CB0B61">
              <w:rPr>
                <w:rFonts w:ascii="Times New Roman" w:eastAsia="Times New Roman" w:hAnsi="Times New Roman" w:cs="Times New Roman"/>
              </w:rPr>
              <w:t>20 (52,6)</w:t>
            </w:r>
          </w:p>
        </w:tc>
      </w:tr>
      <w:tr w:rsidR="00BB366A" w:rsidRPr="00CB0B61" w:rsidTr="00BF7EFC">
        <w:trPr>
          <w:jc w:val="center"/>
        </w:trPr>
        <w:tc>
          <w:tcPr>
            <w:tcW w:w="947" w:type="dxa"/>
            <w:vAlign w:val="center"/>
            <w:hideMark/>
          </w:tcPr>
          <w:p w:rsidR="00BB366A" w:rsidRPr="00CB0B61" w:rsidRDefault="00BB366A" w:rsidP="00BF7EFC">
            <w:pPr>
              <w:spacing w:before="60" w:line="312" w:lineRule="auto"/>
              <w:rPr>
                <w:rFonts w:ascii="Times New Roman" w:eastAsia="Times New Roman" w:hAnsi="Times New Roman" w:cs="Times New Roman"/>
              </w:rPr>
            </w:pPr>
          </w:p>
        </w:tc>
        <w:tc>
          <w:tcPr>
            <w:tcW w:w="1414" w:type="dxa"/>
            <w:vAlign w:val="center"/>
            <w:hideMark/>
          </w:tcPr>
          <w:p w:rsidR="00BB366A" w:rsidRPr="00CB0B61" w:rsidRDefault="00BB366A" w:rsidP="00BF7EFC">
            <w:pPr>
              <w:spacing w:before="60" w:line="312" w:lineRule="auto"/>
              <w:rPr>
                <w:rFonts w:ascii="Times New Roman" w:eastAsia="Times New Roman" w:hAnsi="Times New Roman" w:cs="Times New Roman"/>
              </w:rPr>
            </w:pPr>
            <w:r w:rsidRPr="00CB0B61">
              <w:rPr>
                <w:rFonts w:ascii="Times New Roman" w:eastAsia="Times New Roman" w:hAnsi="Times New Roman" w:cs="Times New Roman"/>
              </w:rPr>
              <w:t>Secretion Retention</w:t>
            </w:r>
          </w:p>
        </w:tc>
        <w:tc>
          <w:tcPr>
            <w:tcW w:w="983" w:type="dxa"/>
            <w:vAlign w:val="center"/>
            <w:hideMark/>
          </w:tcPr>
          <w:p w:rsidR="00BB366A" w:rsidRPr="00CB0B61" w:rsidRDefault="00BB366A" w:rsidP="00BF7EFC">
            <w:pPr>
              <w:spacing w:before="60" w:line="312" w:lineRule="auto"/>
              <w:jc w:val="center"/>
              <w:rPr>
                <w:rFonts w:ascii="Times New Roman" w:eastAsia="Times New Roman" w:hAnsi="Times New Roman" w:cs="Times New Roman"/>
              </w:rPr>
            </w:pPr>
            <w:r w:rsidRPr="00CB0B61">
              <w:rPr>
                <w:rFonts w:ascii="Times New Roman" w:eastAsia="Times New Roman" w:hAnsi="Times New Roman" w:cs="Times New Roman"/>
              </w:rPr>
              <w:t>3 (37,5)</w:t>
            </w:r>
          </w:p>
        </w:tc>
        <w:tc>
          <w:tcPr>
            <w:tcW w:w="1090" w:type="dxa"/>
            <w:vAlign w:val="center"/>
            <w:hideMark/>
          </w:tcPr>
          <w:p w:rsidR="00BB366A" w:rsidRPr="00CB0B61" w:rsidRDefault="00BB366A" w:rsidP="00BF7EFC">
            <w:pPr>
              <w:spacing w:before="60" w:line="312" w:lineRule="auto"/>
              <w:jc w:val="center"/>
              <w:rPr>
                <w:rFonts w:ascii="Times New Roman" w:eastAsia="Times New Roman" w:hAnsi="Times New Roman" w:cs="Times New Roman"/>
              </w:rPr>
            </w:pPr>
            <w:r w:rsidRPr="00CB0B61">
              <w:rPr>
                <w:rFonts w:ascii="Times New Roman" w:eastAsia="Times New Roman" w:hAnsi="Times New Roman" w:cs="Times New Roman"/>
              </w:rPr>
              <w:t>7 (29,2)</w:t>
            </w:r>
          </w:p>
        </w:tc>
        <w:tc>
          <w:tcPr>
            <w:tcW w:w="1256" w:type="dxa"/>
            <w:vAlign w:val="center"/>
            <w:hideMark/>
          </w:tcPr>
          <w:p w:rsidR="00BB366A" w:rsidRPr="00CB0B61" w:rsidRDefault="00BB366A" w:rsidP="00BF7EFC">
            <w:pPr>
              <w:spacing w:before="60" w:line="312" w:lineRule="auto"/>
              <w:jc w:val="center"/>
              <w:rPr>
                <w:rFonts w:ascii="Times New Roman" w:eastAsia="Times New Roman" w:hAnsi="Times New Roman" w:cs="Times New Roman"/>
              </w:rPr>
            </w:pPr>
            <w:r w:rsidRPr="00CB0B61">
              <w:rPr>
                <w:rFonts w:ascii="Times New Roman" w:eastAsia="Times New Roman" w:hAnsi="Times New Roman" w:cs="Times New Roman"/>
              </w:rPr>
              <w:t>0 (0,0)</w:t>
            </w:r>
          </w:p>
        </w:tc>
        <w:tc>
          <w:tcPr>
            <w:tcW w:w="1076" w:type="dxa"/>
            <w:vAlign w:val="center"/>
            <w:hideMark/>
          </w:tcPr>
          <w:p w:rsidR="00BB366A" w:rsidRPr="00CB0B61" w:rsidRDefault="00BB366A" w:rsidP="00BF7EFC">
            <w:pPr>
              <w:spacing w:before="60" w:line="312" w:lineRule="auto"/>
              <w:jc w:val="center"/>
              <w:rPr>
                <w:rFonts w:ascii="Times New Roman" w:eastAsia="Times New Roman" w:hAnsi="Times New Roman" w:cs="Times New Roman"/>
              </w:rPr>
            </w:pPr>
            <w:r w:rsidRPr="00CB0B61">
              <w:rPr>
                <w:rFonts w:ascii="Times New Roman" w:eastAsia="Times New Roman" w:hAnsi="Times New Roman" w:cs="Times New Roman"/>
              </w:rPr>
              <w:t>10 (26,3)</w:t>
            </w:r>
          </w:p>
        </w:tc>
      </w:tr>
      <w:tr w:rsidR="00BB366A" w:rsidRPr="00CB0B61" w:rsidTr="00BF7EFC">
        <w:trPr>
          <w:jc w:val="center"/>
        </w:trPr>
        <w:tc>
          <w:tcPr>
            <w:tcW w:w="947" w:type="dxa"/>
            <w:vAlign w:val="center"/>
            <w:hideMark/>
          </w:tcPr>
          <w:p w:rsidR="00BB366A" w:rsidRPr="00CB0B61" w:rsidRDefault="00BB366A" w:rsidP="00BF7EFC">
            <w:pPr>
              <w:spacing w:before="60" w:line="312" w:lineRule="auto"/>
              <w:rPr>
                <w:rFonts w:ascii="Times New Roman" w:eastAsia="Times New Roman" w:hAnsi="Times New Roman" w:cs="Times New Roman"/>
              </w:rPr>
            </w:pPr>
          </w:p>
        </w:tc>
        <w:tc>
          <w:tcPr>
            <w:tcW w:w="1414" w:type="dxa"/>
            <w:vAlign w:val="center"/>
            <w:hideMark/>
          </w:tcPr>
          <w:p w:rsidR="00BB366A" w:rsidRPr="00CB0B61" w:rsidRDefault="00BB366A" w:rsidP="00BF7EFC">
            <w:pPr>
              <w:spacing w:before="60" w:line="312" w:lineRule="auto"/>
              <w:rPr>
                <w:rFonts w:ascii="Times New Roman" w:eastAsia="Times New Roman" w:hAnsi="Times New Roman" w:cs="Times New Roman"/>
              </w:rPr>
            </w:pPr>
            <w:r w:rsidRPr="00CB0B61">
              <w:rPr>
                <w:rFonts w:ascii="Times New Roman" w:eastAsia="Times New Roman" w:hAnsi="Times New Roman" w:cs="Times New Roman"/>
              </w:rPr>
              <w:t>Clearance</w:t>
            </w:r>
          </w:p>
        </w:tc>
        <w:tc>
          <w:tcPr>
            <w:tcW w:w="983" w:type="dxa"/>
            <w:vAlign w:val="center"/>
            <w:hideMark/>
          </w:tcPr>
          <w:p w:rsidR="00BB366A" w:rsidRPr="00CB0B61" w:rsidRDefault="00BB366A" w:rsidP="00BF7EFC">
            <w:pPr>
              <w:spacing w:before="60" w:line="312" w:lineRule="auto"/>
              <w:jc w:val="center"/>
              <w:rPr>
                <w:rFonts w:ascii="Times New Roman" w:eastAsia="Times New Roman" w:hAnsi="Times New Roman" w:cs="Times New Roman"/>
              </w:rPr>
            </w:pPr>
            <w:r w:rsidRPr="00CB0B61">
              <w:rPr>
                <w:rFonts w:ascii="Times New Roman" w:eastAsia="Times New Roman" w:hAnsi="Times New Roman" w:cs="Times New Roman"/>
              </w:rPr>
              <w:t>4 (50,0)</w:t>
            </w:r>
          </w:p>
        </w:tc>
        <w:tc>
          <w:tcPr>
            <w:tcW w:w="1090" w:type="dxa"/>
            <w:vAlign w:val="center"/>
            <w:hideMark/>
          </w:tcPr>
          <w:p w:rsidR="00BB366A" w:rsidRPr="00CB0B61" w:rsidRDefault="00BB366A" w:rsidP="00BF7EFC">
            <w:pPr>
              <w:spacing w:before="60" w:line="312" w:lineRule="auto"/>
              <w:jc w:val="center"/>
              <w:rPr>
                <w:rFonts w:ascii="Times New Roman" w:eastAsia="Times New Roman" w:hAnsi="Times New Roman" w:cs="Times New Roman"/>
              </w:rPr>
            </w:pPr>
            <w:r w:rsidRPr="00CB0B61">
              <w:rPr>
                <w:rFonts w:ascii="Times New Roman" w:eastAsia="Times New Roman" w:hAnsi="Times New Roman" w:cs="Times New Roman"/>
              </w:rPr>
              <w:t>4 (16,6)</w:t>
            </w:r>
          </w:p>
        </w:tc>
        <w:tc>
          <w:tcPr>
            <w:tcW w:w="1256" w:type="dxa"/>
            <w:vAlign w:val="center"/>
            <w:hideMark/>
          </w:tcPr>
          <w:p w:rsidR="00BB366A" w:rsidRPr="00CB0B61" w:rsidRDefault="00BB366A" w:rsidP="00BF7EFC">
            <w:pPr>
              <w:spacing w:before="60" w:line="312" w:lineRule="auto"/>
              <w:jc w:val="center"/>
              <w:rPr>
                <w:rFonts w:ascii="Times New Roman" w:eastAsia="Times New Roman" w:hAnsi="Times New Roman" w:cs="Times New Roman"/>
              </w:rPr>
            </w:pPr>
            <w:r w:rsidRPr="00CB0B61">
              <w:rPr>
                <w:rFonts w:ascii="Times New Roman" w:eastAsia="Times New Roman" w:hAnsi="Times New Roman" w:cs="Times New Roman"/>
              </w:rPr>
              <w:t>0 (0,0)</w:t>
            </w:r>
          </w:p>
        </w:tc>
        <w:tc>
          <w:tcPr>
            <w:tcW w:w="1076" w:type="dxa"/>
            <w:vAlign w:val="center"/>
            <w:hideMark/>
          </w:tcPr>
          <w:p w:rsidR="00BB366A" w:rsidRPr="00CB0B61" w:rsidRDefault="00BB366A" w:rsidP="00BF7EFC">
            <w:pPr>
              <w:spacing w:before="60" w:line="312" w:lineRule="auto"/>
              <w:jc w:val="center"/>
              <w:rPr>
                <w:rFonts w:ascii="Times New Roman" w:eastAsia="Times New Roman" w:hAnsi="Times New Roman" w:cs="Times New Roman"/>
              </w:rPr>
            </w:pPr>
            <w:r w:rsidRPr="00CB0B61">
              <w:rPr>
                <w:rFonts w:ascii="Times New Roman" w:eastAsia="Times New Roman" w:hAnsi="Times New Roman" w:cs="Times New Roman"/>
              </w:rPr>
              <w:t>8 (21,1)</w:t>
            </w:r>
          </w:p>
        </w:tc>
      </w:tr>
    </w:tbl>
    <w:p w:rsidR="00BF7EFC" w:rsidRPr="00BF7EFC" w:rsidRDefault="00BF7EFC" w:rsidP="00B06B8E">
      <w:pPr>
        <w:pStyle w:val="NormalWeb"/>
        <w:spacing w:before="0" w:beforeAutospacing="0" w:after="0" w:afterAutospacing="0" w:line="312" w:lineRule="auto"/>
        <w:ind w:firstLine="454"/>
        <w:jc w:val="both"/>
        <w:rPr>
          <w:rStyle w:val="citation-200"/>
          <w:sz w:val="4"/>
          <w:szCs w:val="22"/>
        </w:rPr>
      </w:pPr>
    </w:p>
    <w:p w:rsidR="00EB23B9" w:rsidRPr="00517E58" w:rsidRDefault="00566F5B" w:rsidP="00B06B8E">
      <w:pPr>
        <w:pStyle w:val="NormalWeb"/>
        <w:spacing w:before="0" w:beforeAutospacing="0" w:after="0" w:afterAutospacing="0" w:line="312" w:lineRule="auto"/>
        <w:ind w:firstLine="454"/>
        <w:jc w:val="both"/>
        <w:rPr>
          <w:color w:val="1B1C1D"/>
          <w:spacing w:val="-2"/>
          <w:sz w:val="22"/>
          <w:szCs w:val="22"/>
        </w:rPr>
      </w:pPr>
      <w:r w:rsidRPr="00517E58">
        <w:rPr>
          <w:rStyle w:val="citation-200"/>
          <w:spacing w:val="-2"/>
          <w:sz w:val="22"/>
          <w:szCs w:val="22"/>
        </w:rPr>
        <w:t>The effectiveness of routine bronchoscopy in clearing the airways was evident: the rate of secretion retention decreased significantly from 76.3% on day 3 to 26.3% on day 7. However, mucosal inflammation tended to increase, reflecting the ongoing inflammatory process despite mechanical clearance</w:t>
      </w:r>
      <w:r w:rsidR="00EB23B9" w:rsidRPr="00517E58">
        <w:rPr>
          <w:color w:val="1B1C1D"/>
          <w:spacing w:val="-2"/>
          <w:sz w:val="22"/>
          <w:szCs w:val="22"/>
        </w:rPr>
        <w:t>.</w:t>
      </w:r>
    </w:p>
    <w:p w:rsidR="00BF7EFC" w:rsidRDefault="00BF7EFC">
      <w:pPr>
        <w:rPr>
          <w:rFonts w:ascii="Times New Roman" w:eastAsia="Times New Roman" w:hAnsi="Times New Roman" w:cs="Times New Roman"/>
          <w:b/>
        </w:rPr>
      </w:pPr>
      <w:r>
        <w:rPr>
          <w:b/>
        </w:rPr>
        <w:br w:type="page"/>
      </w:r>
    </w:p>
    <w:p w:rsidR="00EB23B9" w:rsidRPr="00CB0B61" w:rsidRDefault="00BB366A" w:rsidP="00B06B8E">
      <w:pPr>
        <w:pStyle w:val="NormalWeb"/>
        <w:spacing w:before="0" w:beforeAutospacing="0" w:after="0" w:afterAutospacing="0" w:line="312" w:lineRule="auto"/>
        <w:jc w:val="center"/>
        <w:rPr>
          <w:b/>
          <w:color w:val="1B1C1D"/>
          <w:sz w:val="22"/>
          <w:szCs w:val="22"/>
        </w:rPr>
      </w:pPr>
      <w:r w:rsidRPr="00CB0B61">
        <w:rPr>
          <w:b/>
          <w:sz w:val="22"/>
          <w:szCs w:val="22"/>
        </w:rPr>
        <w:lastRenderedPageBreak/>
        <w:t xml:space="preserve">Table 8. Changes in </w:t>
      </w:r>
      <w:r w:rsidR="00665F36">
        <w:rPr>
          <w:b/>
          <w:sz w:val="22"/>
          <w:szCs w:val="22"/>
        </w:rPr>
        <w:t>c</w:t>
      </w:r>
      <w:r w:rsidRPr="00CB0B61">
        <w:rPr>
          <w:b/>
          <w:sz w:val="22"/>
          <w:szCs w:val="22"/>
        </w:rPr>
        <w:t xml:space="preserve">oagulation </w:t>
      </w:r>
      <w:r w:rsidR="00665F36">
        <w:rPr>
          <w:b/>
          <w:sz w:val="22"/>
          <w:szCs w:val="22"/>
        </w:rPr>
        <w:t>p</w:t>
      </w:r>
      <w:r w:rsidRPr="00CB0B61">
        <w:rPr>
          <w:b/>
          <w:sz w:val="22"/>
          <w:szCs w:val="22"/>
        </w:rPr>
        <w:t>arameters</w:t>
      </w:r>
    </w:p>
    <w:tbl>
      <w:tblPr>
        <w:tblW w:w="64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2"/>
        <w:gridCol w:w="980"/>
        <w:gridCol w:w="1330"/>
        <w:gridCol w:w="11"/>
        <w:gridCol w:w="1067"/>
        <w:gridCol w:w="1385"/>
      </w:tblGrid>
      <w:tr w:rsidR="00BB366A" w:rsidRPr="00CB0B61" w:rsidTr="00BF7EFC">
        <w:trPr>
          <w:jc w:val="center"/>
        </w:trPr>
        <w:tc>
          <w:tcPr>
            <w:tcW w:w="1672"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rPr>
                <w:rFonts w:ascii="Times New Roman" w:hAnsi="Times New Roman" w:cs="Times New Roman"/>
                <w:b/>
                <w:color w:val="000000" w:themeColor="text1"/>
              </w:rPr>
            </w:pPr>
            <w:r w:rsidRPr="00CB0B61">
              <w:rPr>
                <w:rFonts w:ascii="Times New Roman" w:hAnsi="Times New Roman" w:cs="Times New Roman"/>
                <w:b/>
                <w:color w:val="000000" w:themeColor="text1"/>
              </w:rPr>
              <w:t>Parameter</w:t>
            </w:r>
          </w:p>
        </w:tc>
        <w:tc>
          <w:tcPr>
            <w:tcW w:w="2321" w:type="dxa"/>
            <w:gridSpan w:val="3"/>
            <w:tcBorders>
              <w:top w:val="single" w:sz="6" w:space="0" w:color="auto"/>
              <w:left w:val="single" w:sz="6" w:space="0" w:color="auto"/>
              <w:bottom w:val="single" w:sz="6" w:space="0" w:color="auto"/>
              <w:right w:val="single" w:sz="6" w:space="0" w:color="auto"/>
            </w:tcBorders>
            <w:vAlign w:val="center"/>
          </w:tcPr>
          <w:p w:rsidR="00BF7EFC" w:rsidRDefault="00BB366A" w:rsidP="00BF7EFC">
            <w:pPr>
              <w:spacing w:before="60" w:after="0" w:line="312" w:lineRule="auto"/>
              <w:jc w:val="center"/>
              <w:rPr>
                <w:rFonts w:ascii="Times New Roman" w:hAnsi="Times New Roman" w:cs="Times New Roman"/>
                <w:b/>
                <w:color w:val="000000" w:themeColor="text1"/>
              </w:rPr>
            </w:pPr>
            <w:r w:rsidRPr="00CB0B61">
              <w:rPr>
                <w:rFonts w:ascii="Times New Roman" w:hAnsi="Times New Roman" w:cs="Times New Roman"/>
                <w:b/>
                <w:color w:val="000000" w:themeColor="text1"/>
              </w:rPr>
              <w:t xml:space="preserve">Control group </w:t>
            </w:r>
          </w:p>
          <w:p w:rsidR="00BB366A" w:rsidRPr="00CB0B61" w:rsidRDefault="00BB366A" w:rsidP="00BF7EFC">
            <w:pPr>
              <w:spacing w:before="60" w:after="0" w:line="312" w:lineRule="auto"/>
              <w:jc w:val="center"/>
              <w:rPr>
                <w:rFonts w:ascii="Times New Roman" w:hAnsi="Times New Roman" w:cs="Times New Roman"/>
                <w:b/>
                <w:color w:val="000000" w:themeColor="text1"/>
              </w:rPr>
            </w:pPr>
            <w:r w:rsidRPr="00CB0B61">
              <w:rPr>
                <w:rFonts w:ascii="Times New Roman" w:hAnsi="Times New Roman" w:cs="Times New Roman"/>
                <w:b/>
                <w:color w:val="000000" w:themeColor="text1"/>
              </w:rPr>
              <w:t>(n=38)</w:t>
            </w:r>
          </w:p>
        </w:tc>
        <w:tc>
          <w:tcPr>
            <w:tcW w:w="2452" w:type="dxa"/>
            <w:gridSpan w:val="2"/>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b/>
                <w:color w:val="000000" w:themeColor="text1"/>
              </w:rPr>
            </w:pPr>
            <w:r w:rsidRPr="00CB0B61">
              <w:rPr>
                <w:rFonts w:ascii="Times New Roman" w:hAnsi="Times New Roman" w:cs="Times New Roman"/>
                <w:b/>
                <w:color w:val="000000" w:themeColor="text1"/>
              </w:rPr>
              <w:t>Intervention group (n=38)</w:t>
            </w:r>
          </w:p>
        </w:tc>
      </w:tr>
      <w:tr w:rsidR="00BB366A" w:rsidRPr="00CB0B61" w:rsidTr="00BF7EFC">
        <w:trPr>
          <w:jc w:val="center"/>
        </w:trPr>
        <w:tc>
          <w:tcPr>
            <w:tcW w:w="1672"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rPr>
                <w:rFonts w:ascii="Times New Roman" w:hAnsi="Times New Roman" w:cs="Times New Roman"/>
                <w:b/>
                <w:color w:val="000000" w:themeColor="text1"/>
              </w:rPr>
            </w:pPr>
          </w:p>
        </w:tc>
        <w:tc>
          <w:tcPr>
            <w:tcW w:w="98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b/>
                <w:color w:val="000000" w:themeColor="text1"/>
              </w:rPr>
            </w:pPr>
            <w:r w:rsidRPr="00CB0B61">
              <w:rPr>
                <w:rFonts w:ascii="Times New Roman" w:hAnsi="Times New Roman" w:cs="Times New Roman"/>
                <w:b/>
                <w:color w:val="000000" w:themeColor="text1"/>
              </w:rPr>
              <w:t>Median</w:t>
            </w:r>
          </w:p>
        </w:tc>
        <w:tc>
          <w:tcPr>
            <w:tcW w:w="133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b/>
                <w:color w:val="000000" w:themeColor="text1"/>
              </w:rPr>
            </w:pPr>
            <w:r w:rsidRPr="00CB0B61">
              <w:rPr>
                <w:rFonts w:ascii="Times New Roman" w:hAnsi="Times New Roman" w:cs="Times New Roman"/>
                <w:b/>
                <w:color w:val="000000" w:themeColor="text1"/>
              </w:rPr>
              <w:t>IQR</w:t>
            </w:r>
          </w:p>
        </w:tc>
        <w:tc>
          <w:tcPr>
            <w:tcW w:w="1078" w:type="dxa"/>
            <w:gridSpan w:val="2"/>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b/>
                <w:color w:val="000000" w:themeColor="text1"/>
              </w:rPr>
            </w:pPr>
            <w:r w:rsidRPr="00CB0B61">
              <w:rPr>
                <w:rFonts w:ascii="Times New Roman" w:hAnsi="Times New Roman" w:cs="Times New Roman"/>
                <w:b/>
                <w:color w:val="000000" w:themeColor="text1"/>
              </w:rPr>
              <w:t>Median</w:t>
            </w:r>
          </w:p>
        </w:tc>
        <w:tc>
          <w:tcPr>
            <w:tcW w:w="1385"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b/>
                <w:color w:val="000000" w:themeColor="text1"/>
              </w:rPr>
            </w:pPr>
            <w:r w:rsidRPr="00CB0B61">
              <w:rPr>
                <w:rFonts w:ascii="Times New Roman" w:hAnsi="Times New Roman" w:cs="Times New Roman"/>
                <w:b/>
                <w:color w:val="000000" w:themeColor="text1"/>
              </w:rPr>
              <w:t>IQR</w:t>
            </w:r>
          </w:p>
        </w:tc>
      </w:tr>
      <w:tr w:rsidR="00BB366A" w:rsidRPr="00CB0B61" w:rsidTr="00BF7EFC">
        <w:trPr>
          <w:jc w:val="center"/>
        </w:trPr>
        <w:tc>
          <w:tcPr>
            <w:tcW w:w="1672"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rPr>
                <w:rFonts w:ascii="Times New Roman" w:hAnsi="Times New Roman" w:cs="Times New Roman"/>
                <w:b/>
                <w:color w:val="000000" w:themeColor="text1"/>
              </w:rPr>
            </w:pPr>
            <w:r w:rsidRPr="00CB0B61">
              <w:rPr>
                <w:rFonts w:ascii="Times New Roman" w:hAnsi="Times New Roman" w:cs="Times New Roman"/>
                <w:b/>
                <w:color w:val="000000" w:themeColor="text1"/>
              </w:rPr>
              <w:t>Day 1</w:t>
            </w:r>
          </w:p>
        </w:tc>
        <w:tc>
          <w:tcPr>
            <w:tcW w:w="98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p>
        </w:tc>
        <w:tc>
          <w:tcPr>
            <w:tcW w:w="133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p>
        </w:tc>
        <w:tc>
          <w:tcPr>
            <w:tcW w:w="1078" w:type="dxa"/>
            <w:gridSpan w:val="2"/>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p>
        </w:tc>
        <w:tc>
          <w:tcPr>
            <w:tcW w:w="1385"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p>
        </w:tc>
      </w:tr>
      <w:tr w:rsidR="00BB366A" w:rsidRPr="00CB0B61" w:rsidTr="00BF7EFC">
        <w:trPr>
          <w:jc w:val="center"/>
        </w:trPr>
        <w:tc>
          <w:tcPr>
            <w:tcW w:w="1672"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rPr>
                <w:rFonts w:ascii="Times New Roman" w:hAnsi="Times New Roman" w:cs="Times New Roman"/>
                <w:color w:val="000000" w:themeColor="text1"/>
              </w:rPr>
            </w:pPr>
            <w:r w:rsidRPr="00CB0B61">
              <w:rPr>
                <w:rFonts w:ascii="Times New Roman" w:hAnsi="Times New Roman" w:cs="Times New Roman"/>
                <w:color w:val="000000" w:themeColor="text1"/>
              </w:rPr>
              <w:t>PT (seconds)</w:t>
            </w:r>
          </w:p>
        </w:tc>
        <w:tc>
          <w:tcPr>
            <w:tcW w:w="98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14,9</w:t>
            </w:r>
          </w:p>
        </w:tc>
        <w:tc>
          <w:tcPr>
            <w:tcW w:w="133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13,1 – 20,3</w:t>
            </w:r>
          </w:p>
        </w:tc>
        <w:tc>
          <w:tcPr>
            <w:tcW w:w="1078" w:type="dxa"/>
            <w:gridSpan w:val="2"/>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14,3</w:t>
            </w:r>
          </w:p>
        </w:tc>
        <w:tc>
          <w:tcPr>
            <w:tcW w:w="1385"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12,3 – 19</w:t>
            </w:r>
          </w:p>
        </w:tc>
      </w:tr>
      <w:tr w:rsidR="00BB366A" w:rsidRPr="00CB0B61" w:rsidTr="00BF7EFC">
        <w:trPr>
          <w:jc w:val="center"/>
        </w:trPr>
        <w:tc>
          <w:tcPr>
            <w:tcW w:w="1672"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rPr>
                <w:rFonts w:ascii="Times New Roman" w:hAnsi="Times New Roman" w:cs="Times New Roman"/>
                <w:color w:val="000000" w:themeColor="text1"/>
              </w:rPr>
            </w:pPr>
            <w:r w:rsidRPr="00CB0B61">
              <w:rPr>
                <w:rFonts w:ascii="Times New Roman" w:hAnsi="Times New Roman" w:cs="Times New Roman"/>
                <w:color w:val="000000" w:themeColor="text1"/>
              </w:rPr>
              <w:t>PT (%)</w:t>
            </w:r>
          </w:p>
        </w:tc>
        <w:tc>
          <w:tcPr>
            <w:tcW w:w="98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72,5</w:t>
            </w:r>
          </w:p>
        </w:tc>
        <w:tc>
          <w:tcPr>
            <w:tcW w:w="133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55 – 79</w:t>
            </w:r>
          </w:p>
        </w:tc>
        <w:tc>
          <w:tcPr>
            <w:tcW w:w="1078" w:type="dxa"/>
            <w:gridSpan w:val="2"/>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70,5</w:t>
            </w:r>
          </w:p>
        </w:tc>
        <w:tc>
          <w:tcPr>
            <w:tcW w:w="1385"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57 – 88</w:t>
            </w:r>
          </w:p>
        </w:tc>
      </w:tr>
      <w:tr w:rsidR="00BB366A" w:rsidRPr="00CB0B61" w:rsidTr="00BF7EFC">
        <w:trPr>
          <w:jc w:val="center"/>
        </w:trPr>
        <w:tc>
          <w:tcPr>
            <w:tcW w:w="1672"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rPr>
                <w:rFonts w:ascii="Times New Roman" w:hAnsi="Times New Roman" w:cs="Times New Roman"/>
                <w:color w:val="000000" w:themeColor="text1"/>
              </w:rPr>
            </w:pPr>
            <w:r w:rsidRPr="00CB0B61">
              <w:rPr>
                <w:rFonts w:ascii="Times New Roman" w:hAnsi="Times New Roman" w:cs="Times New Roman"/>
                <w:color w:val="000000" w:themeColor="text1"/>
              </w:rPr>
              <w:t>INR</w:t>
            </w:r>
          </w:p>
        </w:tc>
        <w:tc>
          <w:tcPr>
            <w:tcW w:w="98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1,3</w:t>
            </w:r>
          </w:p>
        </w:tc>
        <w:tc>
          <w:tcPr>
            <w:tcW w:w="133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1,18 – 1,59</w:t>
            </w:r>
          </w:p>
        </w:tc>
        <w:tc>
          <w:tcPr>
            <w:tcW w:w="1078" w:type="dxa"/>
            <w:gridSpan w:val="2"/>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1,3</w:t>
            </w:r>
          </w:p>
        </w:tc>
        <w:tc>
          <w:tcPr>
            <w:tcW w:w="1385"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1,11 – 1,5</w:t>
            </w:r>
          </w:p>
        </w:tc>
      </w:tr>
      <w:tr w:rsidR="00BB366A" w:rsidRPr="00CB0B61" w:rsidTr="00BF7EFC">
        <w:trPr>
          <w:jc w:val="center"/>
        </w:trPr>
        <w:tc>
          <w:tcPr>
            <w:tcW w:w="1672"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rPr>
                <w:rFonts w:ascii="Times New Roman" w:hAnsi="Times New Roman" w:cs="Times New Roman"/>
                <w:color w:val="000000" w:themeColor="text1"/>
              </w:rPr>
            </w:pPr>
            <w:r w:rsidRPr="00CB0B61">
              <w:rPr>
                <w:rFonts w:ascii="Times New Roman" w:hAnsi="Times New Roman" w:cs="Times New Roman"/>
                <w:color w:val="000000" w:themeColor="text1"/>
              </w:rPr>
              <w:t>APTT (seconds)</w:t>
            </w:r>
          </w:p>
        </w:tc>
        <w:tc>
          <w:tcPr>
            <w:tcW w:w="98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41,1</w:t>
            </w:r>
          </w:p>
        </w:tc>
        <w:tc>
          <w:tcPr>
            <w:tcW w:w="133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34,5 – 46</w:t>
            </w:r>
          </w:p>
        </w:tc>
        <w:tc>
          <w:tcPr>
            <w:tcW w:w="1078" w:type="dxa"/>
            <w:gridSpan w:val="2"/>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38,7</w:t>
            </w:r>
          </w:p>
        </w:tc>
        <w:tc>
          <w:tcPr>
            <w:tcW w:w="1385"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31,6-47,7</w:t>
            </w:r>
          </w:p>
        </w:tc>
      </w:tr>
      <w:tr w:rsidR="00BB366A" w:rsidRPr="00CB0B61" w:rsidTr="00BF7EFC">
        <w:trPr>
          <w:jc w:val="center"/>
        </w:trPr>
        <w:tc>
          <w:tcPr>
            <w:tcW w:w="1672"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rPr>
                <w:rFonts w:ascii="Times New Roman" w:hAnsi="Times New Roman" w:cs="Times New Roman"/>
                <w:color w:val="000000" w:themeColor="text1"/>
              </w:rPr>
            </w:pPr>
            <w:r w:rsidRPr="00CB0B61">
              <w:rPr>
                <w:rFonts w:ascii="Times New Roman" w:hAnsi="Times New Roman" w:cs="Times New Roman"/>
                <w:color w:val="000000" w:themeColor="text1"/>
              </w:rPr>
              <w:t>Fib (g/L)</w:t>
            </w:r>
          </w:p>
        </w:tc>
        <w:tc>
          <w:tcPr>
            <w:tcW w:w="98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4,4</w:t>
            </w:r>
          </w:p>
        </w:tc>
        <w:tc>
          <w:tcPr>
            <w:tcW w:w="133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2,6 – 6,36</w:t>
            </w:r>
          </w:p>
        </w:tc>
        <w:tc>
          <w:tcPr>
            <w:tcW w:w="1078" w:type="dxa"/>
            <w:gridSpan w:val="2"/>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3,7</w:t>
            </w:r>
          </w:p>
        </w:tc>
        <w:tc>
          <w:tcPr>
            <w:tcW w:w="1385"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2,72 – 4,32</w:t>
            </w:r>
          </w:p>
        </w:tc>
      </w:tr>
      <w:tr w:rsidR="00BB366A" w:rsidRPr="00CB0B61" w:rsidTr="00BF7EFC">
        <w:trPr>
          <w:jc w:val="center"/>
        </w:trPr>
        <w:tc>
          <w:tcPr>
            <w:tcW w:w="1672"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rPr>
                <w:rFonts w:ascii="Times New Roman" w:hAnsi="Times New Roman" w:cs="Times New Roman"/>
                <w:b/>
                <w:color w:val="000000" w:themeColor="text1"/>
              </w:rPr>
            </w:pPr>
            <w:r w:rsidRPr="00CB0B61">
              <w:rPr>
                <w:rFonts w:ascii="Times New Roman" w:hAnsi="Times New Roman" w:cs="Times New Roman"/>
                <w:b/>
                <w:color w:val="000000" w:themeColor="text1"/>
              </w:rPr>
              <w:t>Day 7</w:t>
            </w:r>
          </w:p>
        </w:tc>
        <w:tc>
          <w:tcPr>
            <w:tcW w:w="98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p>
        </w:tc>
        <w:tc>
          <w:tcPr>
            <w:tcW w:w="133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p>
        </w:tc>
        <w:tc>
          <w:tcPr>
            <w:tcW w:w="1078" w:type="dxa"/>
            <w:gridSpan w:val="2"/>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p>
        </w:tc>
        <w:tc>
          <w:tcPr>
            <w:tcW w:w="1385"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p>
        </w:tc>
      </w:tr>
      <w:tr w:rsidR="00BB366A" w:rsidRPr="00CB0B61" w:rsidTr="00BF7EFC">
        <w:trPr>
          <w:jc w:val="center"/>
        </w:trPr>
        <w:tc>
          <w:tcPr>
            <w:tcW w:w="1672"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rPr>
                <w:rFonts w:ascii="Times New Roman" w:hAnsi="Times New Roman" w:cs="Times New Roman"/>
                <w:color w:val="000000" w:themeColor="text1"/>
              </w:rPr>
            </w:pPr>
            <w:r w:rsidRPr="00CB0B61">
              <w:rPr>
                <w:rFonts w:ascii="Times New Roman" w:hAnsi="Times New Roman" w:cs="Times New Roman"/>
                <w:color w:val="000000" w:themeColor="text1"/>
              </w:rPr>
              <w:t>PT (seconds)</w:t>
            </w:r>
          </w:p>
        </w:tc>
        <w:tc>
          <w:tcPr>
            <w:tcW w:w="98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13,8</w:t>
            </w:r>
          </w:p>
        </w:tc>
        <w:tc>
          <w:tcPr>
            <w:tcW w:w="133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12,1 – 19,3</w:t>
            </w:r>
          </w:p>
        </w:tc>
        <w:tc>
          <w:tcPr>
            <w:tcW w:w="1078" w:type="dxa"/>
            <w:gridSpan w:val="2"/>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13,4</w:t>
            </w:r>
          </w:p>
        </w:tc>
        <w:tc>
          <w:tcPr>
            <w:tcW w:w="1385"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11,8 – 17,2</w:t>
            </w:r>
          </w:p>
        </w:tc>
      </w:tr>
      <w:tr w:rsidR="00BB366A" w:rsidRPr="00CB0B61" w:rsidTr="00BF7EFC">
        <w:trPr>
          <w:jc w:val="center"/>
        </w:trPr>
        <w:tc>
          <w:tcPr>
            <w:tcW w:w="1672"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rPr>
                <w:rFonts w:ascii="Times New Roman" w:hAnsi="Times New Roman" w:cs="Times New Roman"/>
                <w:color w:val="000000" w:themeColor="text1"/>
              </w:rPr>
            </w:pPr>
            <w:r w:rsidRPr="00CB0B61">
              <w:rPr>
                <w:rFonts w:ascii="Times New Roman" w:hAnsi="Times New Roman" w:cs="Times New Roman"/>
                <w:color w:val="000000" w:themeColor="text1"/>
              </w:rPr>
              <w:t>PT (%)</w:t>
            </w:r>
          </w:p>
        </w:tc>
        <w:tc>
          <w:tcPr>
            <w:tcW w:w="98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81,5</w:t>
            </w:r>
          </w:p>
        </w:tc>
        <w:tc>
          <w:tcPr>
            <w:tcW w:w="133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62 – 90</w:t>
            </w:r>
          </w:p>
        </w:tc>
        <w:tc>
          <w:tcPr>
            <w:tcW w:w="1078" w:type="dxa"/>
            <w:gridSpan w:val="2"/>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84,5</w:t>
            </w:r>
          </w:p>
        </w:tc>
        <w:tc>
          <w:tcPr>
            <w:tcW w:w="1385"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72 – 91</w:t>
            </w:r>
          </w:p>
        </w:tc>
      </w:tr>
      <w:tr w:rsidR="00BB366A" w:rsidRPr="00CB0B61" w:rsidTr="00BF7EFC">
        <w:trPr>
          <w:jc w:val="center"/>
        </w:trPr>
        <w:tc>
          <w:tcPr>
            <w:tcW w:w="1672"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rPr>
                <w:rFonts w:ascii="Times New Roman" w:hAnsi="Times New Roman" w:cs="Times New Roman"/>
                <w:color w:val="000000" w:themeColor="text1"/>
              </w:rPr>
            </w:pPr>
            <w:r w:rsidRPr="00CB0B61">
              <w:rPr>
                <w:rFonts w:ascii="Times New Roman" w:hAnsi="Times New Roman" w:cs="Times New Roman"/>
                <w:color w:val="000000" w:themeColor="text1"/>
              </w:rPr>
              <w:t>INR</w:t>
            </w:r>
          </w:p>
        </w:tc>
        <w:tc>
          <w:tcPr>
            <w:tcW w:w="98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1,2</w:t>
            </w:r>
          </w:p>
        </w:tc>
        <w:tc>
          <w:tcPr>
            <w:tcW w:w="133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1,1 – 1,39</w:t>
            </w:r>
          </w:p>
        </w:tc>
        <w:tc>
          <w:tcPr>
            <w:tcW w:w="1078" w:type="dxa"/>
            <w:gridSpan w:val="2"/>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1,1</w:t>
            </w:r>
          </w:p>
        </w:tc>
        <w:tc>
          <w:tcPr>
            <w:tcW w:w="1385"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1,09 – 1,24</w:t>
            </w:r>
          </w:p>
        </w:tc>
      </w:tr>
      <w:tr w:rsidR="00BB366A" w:rsidRPr="00CB0B61" w:rsidTr="00BF7EFC">
        <w:trPr>
          <w:jc w:val="center"/>
        </w:trPr>
        <w:tc>
          <w:tcPr>
            <w:tcW w:w="1672"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rPr>
                <w:rFonts w:ascii="Times New Roman" w:hAnsi="Times New Roman" w:cs="Times New Roman"/>
                <w:color w:val="000000" w:themeColor="text1"/>
              </w:rPr>
            </w:pPr>
            <w:r w:rsidRPr="00CB0B61">
              <w:rPr>
                <w:rFonts w:ascii="Times New Roman" w:hAnsi="Times New Roman" w:cs="Times New Roman"/>
                <w:color w:val="000000" w:themeColor="text1"/>
              </w:rPr>
              <w:t>APTT (seconds)</w:t>
            </w:r>
          </w:p>
        </w:tc>
        <w:tc>
          <w:tcPr>
            <w:tcW w:w="98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35,9</w:t>
            </w:r>
          </w:p>
        </w:tc>
        <w:tc>
          <w:tcPr>
            <w:tcW w:w="133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32,3 – 38,5</w:t>
            </w:r>
          </w:p>
        </w:tc>
        <w:tc>
          <w:tcPr>
            <w:tcW w:w="1078" w:type="dxa"/>
            <w:gridSpan w:val="2"/>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34,6</w:t>
            </w:r>
          </w:p>
        </w:tc>
        <w:tc>
          <w:tcPr>
            <w:tcW w:w="1385"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31,1 – 37,6</w:t>
            </w:r>
          </w:p>
        </w:tc>
      </w:tr>
      <w:tr w:rsidR="00BB366A" w:rsidRPr="00CB0B61" w:rsidTr="00BF7EFC">
        <w:trPr>
          <w:jc w:val="center"/>
        </w:trPr>
        <w:tc>
          <w:tcPr>
            <w:tcW w:w="1672"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rPr>
                <w:rFonts w:ascii="Times New Roman" w:hAnsi="Times New Roman" w:cs="Times New Roman"/>
                <w:color w:val="000000" w:themeColor="text1"/>
              </w:rPr>
            </w:pPr>
            <w:r w:rsidRPr="00CB0B61">
              <w:rPr>
                <w:rFonts w:ascii="Times New Roman" w:hAnsi="Times New Roman" w:cs="Times New Roman"/>
                <w:color w:val="000000" w:themeColor="text1"/>
              </w:rPr>
              <w:t>Fib (g/L)</w:t>
            </w:r>
          </w:p>
        </w:tc>
        <w:tc>
          <w:tcPr>
            <w:tcW w:w="98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9,1</w:t>
            </w:r>
          </w:p>
        </w:tc>
        <w:tc>
          <w:tcPr>
            <w:tcW w:w="133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6,31 – 11,14</w:t>
            </w:r>
          </w:p>
        </w:tc>
        <w:tc>
          <w:tcPr>
            <w:tcW w:w="1078" w:type="dxa"/>
            <w:gridSpan w:val="2"/>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8,3</w:t>
            </w:r>
          </w:p>
        </w:tc>
        <w:tc>
          <w:tcPr>
            <w:tcW w:w="1385"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F7EFC">
            <w:pPr>
              <w:spacing w:before="60" w:after="0"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6,3 – 10,36</w:t>
            </w:r>
          </w:p>
        </w:tc>
      </w:tr>
    </w:tbl>
    <w:p w:rsidR="00BF7EFC" w:rsidRPr="00BF7EFC" w:rsidRDefault="00BF7EFC" w:rsidP="00B06B8E">
      <w:pPr>
        <w:pStyle w:val="NormalWeb"/>
        <w:spacing w:before="0" w:beforeAutospacing="0" w:after="0" w:afterAutospacing="0" w:line="312" w:lineRule="auto"/>
        <w:ind w:firstLine="454"/>
        <w:jc w:val="both"/>
        <w:rPr>
          <w:rStyle w:val="citation-198"/>
          <w:sz w:val="4"/>
          <w:szCs w:val="22"/>
        </w:rPr>
      </w:pPr>
    </w:p>
    <w:p w:rsidR="00EB23B9" w:rsidRPr="00CB0B61" w:rsidRDefault="00BB366A" w:rsidP="00B06B8E">
      <w:pPr>
        <w:pStyle w:val="NormalWeb"/>
        <w:spacing w:before="0" w:beforeAutospacing="0" w:after="0" w:afterAutospacing="0" w:line="312" w:lineRule="auto"/>
        <w:ind w:firstLine="454"/>
        <w:jc w:val="both"/>
        <w:rPr>
          <w:color w:val="1B1C1D"/>
          <w:sz w:val="22"/>
          <w:szCs w:val="22"/>
        </w:rPr>
      </w:pPr>
      <w:r w:rsidRPr="00CB0B61">
        <w:rPr>
          <w:rStyle w:val="citation-198"/>
          <w:sz w:val="22"/>
          <w:szCs w:val="22"/>
        </w:rPr>
        <w:t>The intervention protocol was safe: despite the use of nebulized Heparin, systemic coagulation parameters like INR and APTT showed no significant difference between the two groups and remained stable</w:t>
      </w:r>
      <w:r w:rsidRPr="00CB0B61">
        <w:rPr>
          <w:sz w:val="22"/>
          <w:szCs w:val="22"/>
        </w:rPr>
        <w:t xml:space="preserve">. </w:t>
      </w:r>
      <w:r w:rsidRPr="00CB0B61">
        <w:rPr>
          <w:rStyle w:val="citation-197"/>
          <w:sz w:val="22"/>
          <w:szCs w:val="22"/>
        </w:rPr>
        <w:t>The elevated Fibrinogen levels in both groups on day 7 were a typical acute inflammatory response in severe burns, not an effect of the medication</w:t>
      </w:r>
      <w:r w:rsidR="00EB23B9" w:rsidRPr="00CB0B61">
        <w:rPr>
          <w:color w:val="1B1C1D"/>
          <w:sz w:val="22"/>
          <w:szCs w:val="22"/>
        </w:rPr>
        <w:t>.</w:t>
      </w:r>
    </w:p>
    <w:p w:rsidR="00A7384B" w:rsidRPr="00CB0B61" w:rsidRDefault="00A7384B" w:rsidP="00B06B8E">
      <w:pPr>
        <w:pStyle w:val="NormalWeb"/>
        <w:spacing w:before="0" w:beforeAutospacing="0" w:after="0" w:afterAutospacing="0" w:line="312" w:lineRule="auto"/>
        <w:jc w:val="center"/>
        <w:rPr>
          <w:b/>
          <w:bCs/>
          <w:color w:val="1B1C1D"/>
          <w:sz w:val="22"/>
          <w:szCs w:val="22"/>
          <w:bdr w:val="none" w:sz="0" w:space="0" w:color="auto" w:frame="1"/>
        </w:rPr>
      </w:pPr>
    </w:p>
    <w:p w:rsidR="00A7384B" w:rsidRPr="00CB0B61" w:rsidRDefault="00A7384B" w:rsidP="00B06B8E">
      <w:pPr>
        <w:pStyle w:val="NormalWeb"/>
        <w:spacing w:before="0" w:beforeAutospacing="0" w:after="0" w:afterAutospacing="0" w:line="312" w:lineRule="auto"/>
        <w:jc w:val="center"/>
        <w:rPr>
          <w:b/>
          <w:bCs/>
          <w:color w:val="1B1C1D"/>
          <w:sz w:val="22"/>
          <w:szCs w:val="22"/>
          <w:bdr w:val="none" w:sz="0" w:space="0" w:color="auto" w:frame="1"/>
        </w:rPr>
      </w:pPr>
    </w:p>
    <w:p w:rsidR="00A7384B" w:rsidRPr="00CB0B61" w:rsidRDefault="00A7384B" w:rsidP="00B06B8E">
      <w:pPr>
        <w:pStyle w:val="NormalWeb"/>
        <w:spacing w:before="0" w:beforeAutospacing="0" w:after="0" w:afterAutospacing="0" w:line="312" w:lineRule="auto"/>
        <w:jc w:val="center"/>
        <w:rPr>
          <w:b/>
          <w:bCs/>
          <w:color w:val="1B1C1D"/>
          <w:sz w:val="22"/>
          <w:szCs w:val="22"/>
          <w:bdr w:val="none" w:sz="0" w:space="0" w:color="auto" w:frame="1"/>
        </w:rPr>
      </w:pPr>
    </w:p>
    <w:p w:rsidR="00EB23B9" w:rsidRPr="00CB0B61" w:rsidRDefault="00BB366A" w:rsidP="00B06B8E">
      <w:pPr>
        <w:pStyle w:val="NormalWeb"/>
        <w:spacing w:before="0" w:beforeAutospacing="0" w:after="0" w:afterAutospacing="0" w:line="312" w:lineRule="auto"/>
        <w:jc w:val="center"/>
        <w:rPr>
          <w:b/>
          <w:color w:val="1B1C1D"/>
          <w:sz w:val="22"/>
          <w:szCs w:val="22"/>
        </w:rPr>
      </w:pPr>
      <w:r w:rsidRPr="00CB0B61">
        <w:rPr>
          <w:b/>
          <w:sz w:val="22"/>
          <w:szCs w:val="22"/>
        </w:rPr>
        <w:lastRenderedPageBreak/>
        <w:t xml:space="preserve">Chart 3. Changes in </w:t>
      </w:r>
      <w:r w:rsidR="00665F36">
        <w:rPr>
          <w:b/>
          <w:sz w:val="22"/>
          <w:szCs w:val="22"/>
        </w:rPr>
        <w:t>p</w:t>
      </w:r>
      <w:r w:rsidRPr="00CB0B61">
        <w:rPr>
          <w:b/>
          <w:sz w:val="22"/>
          <w:szCs w:val="22"/>
        </w:rPr>
        <w:t xml:space="preserve">ulmonary </w:t>
      </w:r>
      <w:r w:rsidR="00665F36">
        <w:rPr>
          <w:b/>
          <w:sz w:val="22"/>
          <w:szCs w:val="22"/>
        </w:rPr>
        <w:t>c</w:t>
      </w:r>
      <w:r w:rsidRPr="00CB0B61">
        <w:rPr>
          <w:b/>
          <w:sz w:val="22"/>
          <w:szCs w:val="22"/>
        </w:rPr>
        <w:t xml:space="preserve">ompliance </w:t>
      </w:r>
      <w:r w:rsidR="00665F36">
        <w:rPr>
          <w:b/>
          <w:sz w:val="22"/>
          <w:szCs w:val="22"/>
        </w:rPr>
        <w:t>o</w:t>
      </w:r>
      <w:r w:rsidRPr="00CB0B61">
        <w:rPr>
          <w:b/>
          <w:sz w:val="22"/>
          <w:szCs w:val="22"/>
        </w:rPr>
        <w:t>ver Time</w:t>
      </w:r>
    </w:p>
    <w:p w:rsidR="00326FF9" w:rsidRPr="00CB0B61" w:rsidRDefault="00BF7EFC" w:rsidP="00B06B8E">
      <w:pPr>
        <w:spacing w:after="0" w:line="312" w:lineRule="auto"/>
        <w:jc w:val="center"/>
        <w:rPr>
          <w:color w:val="000000" w:themeColor="text1"/>
        </w:rPr>
      </w:pPr>
      <w:r w:rsidRPr="00CB0B61">
        <w:rPr>
          <w:noProof/>
          <w:color w:val="000000" w:themeColor="text1"/>
        </w:rPr>
        <mc:AlternateContent>
          <mc:Choice Requires="wps">
            <w:drawing>
              <wp:anchor distT="0" distB="0" distL="114300" distR="114300" simplePos="0" relativeHeight="251661312" behindDoc="0" locked="0" layoutInCell="1" allowOverlap="1" wp14:anchorId="2E95A532" wp14:editId="3DEF3F43">
                <wp:simplePos x="0" y="0"/>
                <wp:positionH relativeFrom="column">
                  <wp:posOffset>3777062</wp:posOffset>
                </wp:positionH>
                <wp:positionV relativeFrom="paragraph">
                  <wp:posOffset>2086444</wp:posOffset>
                </wp:positionV>
                <wp:extent cx="251460" cy="373380"/>
                <wp:effectExtent l="0" t="0" r="0" b="0"/>
                <wp:wrapNone/>
                <wp:docPr id="1190003244" name="Rectangle 2"/>
                <wp:cNvGraphicFramePr/>
                <a:graphic xmlns:a="http://schemas.openxmlformats.org/drawingml/2006/main">
                  <a:graphicData uri="http://schemas.microsoft.com/office/word/2010/wordprocessingShape">
                    <wps:wsp>
                      <wps:cNvSpPr/>
                      <wps:spPr>
                        <a:xfrm>
                          <a:off x="0" y="0"/>
                          <a:ext cx="251460" cy="37338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rsidR="00984119" w:rsidRPr="009265CE" w:rsidRDefault="00984119" w:rsidP="00326FF9">
                            <w:pPr>
                              <w:ind w:right="18"/>
                              <w:jc w:val="center"/>
                              <w:rPr>
                                <w:color w:val="FF0000"/>
                                <w:sz w:val="40"/>
                                <w:szCs w:val="40"/>
                              </w:rPr>
                            </w:pPr>
                            <w:r w:rsidRPr="009265CE">
                              <w:rPr>
                                <w:color w:val="FF0000"/>
                                <w:sz w:val="40"/>
                                <w:szCs w:val="4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95A532" id="Rectangle 2" o:spid="_x0000_s1026" style="position:absolute;left:0;text-align:left;margin-left:297.4pt;margin-top:164.3pt;width:19.8pt;height:2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" filled="f" stroked="f" strokeweight="1pt">
                <v:textbox>
                  <w:txbxContent>
                    <w:p w:rsidR="00984119" w:rsidRPr="009265CE" w:rsidRDefault="00984119" w:rsidP="00326FF9">
                      <w:pPr>
                        <w:ind w:right="18"/>
                        <w:jc w:val="center"/>
                        <w:rPr>
                          <w:color w:val="FF0000"/>
                          <w:sz w:val="40"/>
                          <w:szCs w:val="40"/>
                        </w:rPr>
                      </w:pPr>
                      <w:r w:rsidRPr="009265CE">
                        <w:rPr>
                          <w:color w:val="FF0000"/>
                          <w:sz w:val="40"/>
                          <w:szCs w:val="40"/>
                        </w:rPr>
                        <w:t>*</w:t>
                      </w:r>
                    </w:p>
                  </w:txbxContent>
                </v:textbox>
              </v:rect>
            </w:pict>
          </mc:Fallback>
        </mc:AlternateContent>
      </w:r>
      <w:r w:rsidRPr="00CB0B61">
        <w:rPr>
          <w:noProof/>
          <w:color w:val="000000" w:themeColor="text1"/>
        </w:rPr>
        <mc:AlternateContent>
          <mc:Choice Requires="wps">
            <w:drawing>
              <wp:anchor distT="0" distB="0" distL="114300" distR="114300" simplePos="0" relativeHeight="251664384" behindDoc="0" locked="0" layoutInCell="1" allowOverlap="1" wp14:anchorId="7022FD7C" wp14:editId="09638333">
                <wp:simplePos x="0" y="0"/>
                <wp:positionH relativeFrom="column">
                  <wp:posOffset>3232785</wp:posOffset>
                </wp:positionH>
                <wp:positionV relativeFrom="paragraph">
                  <wp:posOffset>2087576</wp:posOffset>
                </wp:positionV>
                <wp:extent cx="251460" cy="373380"/>
                <wp:effectExtent l="0" t="0" r="0" b="0"/>
                <wp:wrapNone/>
                <wp:docPr id="29" name="Rectangle 2"/>
                <wp:cNvGraphicFramePr/>
                <a:graphic xmlns:a="http://schemas.openxmlformats.org/drawingml/2006/main">
                  <a:graphicData uri="http://schemas.microsoft.com/office/word/2010/wordprocessingShape">
                    <wps:wsp>
                      <wps:cNvSpPr/>
                      <wps:spPr>
                        <a:xfrm>
                          <a:off x="0" y="0"/>
                          <a:ext cx="251460" cy="37338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rsidR="00984119" w:rsidRPr="009265CE" w:rsidRDefault="00984119" w:rsidP="00326FF9">
                            <w:pPr>
                              <w:ind w:right="18"/>
                              <w:jc w:val="center"/>
                              <w:rPr>
                                <w:color w:val="FF0000"/>
                                <w:sz w:val="40"/>
                                <w:szCs w:val="40"/>
                              </w:rPr>
                            </w:pPr>
                            <w:r w:rsidRPr="009265CE">
                              <w:rPr>
                                <w:color w:val="FF0000"/>
                                <w:sz w:val="40"/>
                                <w:szCs w:val="4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22FD7C" id="_x0000_s1027" style="position:absolute;left:0;text-align:left;margin-left:254.55pt;margin-top:164.4pt;width:19.8pt;height:29.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" filled="f" stroked="f" strokeweight="1pt">
                <v:textbox>
                  <w:txbxContent>
                    <w:p w:rsidR="00984119" w:rsidRPr="009265CE" w:rsidRDefault="00984119" w:rsidP="00326FF9">
                      <w:pPr>
                        <w:ind w:right="18"/>
                        <w:jc w:val="center"/>
                        <w:rPr>
                          <w:color w:val="FF0000"/>
                          <w:sz w:val="40"/>
                          <w:szCs w:val="40"/>
                        </w:rPr>
                      </w:pPr>
                      <w:r w:rsidRPr="009265CE">
                        <w:rPr>
                          <w:color w:val="FF0000"/>
                          <w:sz w:val="40"/>
                          <w:szCs w:val="40"/>
                        </w:rPr>
                        <w:t>*</w:t>
                      </w:r>
                    </w:p>
                  </w:txbxContent>
                </v:textbox>
              </v:rect>
            </w:pict>
          </mc:Fallback>
        </mc:AlternateContent>
      </w:r>
      <w:r w:rsidRPr="00CB0B61">
        <w:rPr>
          <w:noProof/>
          <w:color w:val="000000" w:themeColor="text1"/>
        </w:rPr>
        <mc:AlternateContent>
          <mc:Choice Requires="wps">
            <w:drawing>
              <wp:anchor distT="0" distB="0" distL="114300" distR="114300" simplePos="0" relativeHeight="251663360" behindDoc="0" locked="0" layoutInCell="1" allowOverlap="1" wp14:anchorId="49ACE676" wp14:editId="091219C8">
                <wp:simplePos x="0" y="0"/>
                <wp:positionH relativeFrom="column">
                  <wp:posOffset>2691434</wp:posOffset>
                </wp:positionH>
                <wp:positionV relativeFrom="paragraph">
                  <wp:posOffset>2086610</wp:posOffset>
                </wp:positionV>
                <wp:extent cx="251460" cy="373380"/>
                <wp:effectExtent l="0" t="0" r="0" b="0"/>
                <wp:wrapNone/>
                <wp:docPr id="1765001956" name="Rectangle 2"/>
                <wp:cNvGraphicFramePr/>
                <a:graphic xmlns:a="http://schemas.openxmlformats.org/drawingml/2006/main">
                  <a:graphicData uri="http://schemas.microsoft.com/office/word/2010/wordprocessingShape">
                    <wps:wsp>
                      <wps:cNvSpPr/>
                      <wps:spPr>
                        <a:xfrm>
                          <a:off x="0" y="0"/>
                          <a:ext cx="251460" cy="37338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rsidR="00984119" w:rsidRPr="009265CE" w:rsidRDefault="00984119" w:rsidP="00326FF9">
                            <w:pPr>
                              <w:ind w:right="18"/>
                              <w:jc w:val="center"/>
                              <w:rPr>
                                <w:color w:val="FF0000"/>
                                <w:sz w:val="40"/>
                                <w:szCs w:val="40"/>
                              </w:rPr>
                            </w:pPr>
                            <w:r w:rsidRPr="009265CE">
                              <w:rPr>
                                <w:color w:val="FF0000"/>
                                <w:sz w:val="40"/>
                                <w:szCs w:val="4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ACE676" id="_x0000_s1028" style="position:absolute;left:0;text-align:left;margin-left:211.9pt;margin-top:164.3pt;width:19.8pt;height:29.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" filled="f" stroked="f" strokeweight="1pt">
                <v:textbox>
                  <w:txbxContent>
                    <w:p w:rsidR="00984119" w:rsidRPr="009265CE" w:rsidRDefault="00984119" w:rsidP="00326FF9">
                      <w:pPr>
                        <w:ind w:right="18"/>
                        <w:jc w:val="center"/>
                        <w:rPr>
                          <w:color w:val="FF0000"/>
                          <w:sz w:val="40"/>
                          <w:szCs w:val="40"/>
                        </w:rPr>
                      </w:pPr>
                      <w:r w:rsidRPr="009265CE">
                        <w:rPr>
                          <w:color w:val="FF0000"/>
                          <w:sz w:val="40"/>
                          <w:szCs w:val="40"/>
                        </w:rPr>
                        <w:t>*</w:t>
                      </w:r>
                    </w:p>
                  </w:txbxContent>
                </v:textbox>
              </v:rect>
            </w:pict>
          </mc:Fallback>
        </mc:AlternateContent>
      </w:r>
      <w:r w:rsidRPr="00CB0B61">
        <w:rPr>
          <w:noProof/>
          <w:color w:val="000000" w:themeColor="text1"/>
        </w:rPr>
        <mc:AlternateContent>
          <mc:Choice Requires="wps">
            <w:drawing>
              <wp:anchor distT="0" distB="0" distL="114300" distR="114300" simplePos="0" relativeHeight="251662336" behindDoc="0" locked="0" layoutInCell="1" allowOverlap="1" wp14:anchorId="1673CA20" wp14:editId="731DF780">
                <wp:simplePos x="0" y="0"/>
                <wp:positionH relativeFrom="column">
                  <wp:posOffset>2152926</wp:posOffset>
                </wp:positionH>
                <wp:positionV relativeFrom="paragraph">
                  <wp:posOffset>2087080</wp:posOffset>
                </wp:positionV>
                <wp:extent cx="251460" cy="373380"/>
                <wp:effectExtent l="0" t="0" r="0" b="0"/>
                <wp:wrapNone/>
                <wp:docPr id="1015370110" name="Rectangle 2"/>
                <wp:cNvGraphicFramePr/>
                <a:graphic xmlns:a="http://schemas.openxmlformats.org/drawingml/2006/main">
                  <a:graphicData uri="http://schemas.microsoft.com/office/word/2010/wordprocessingShape">
                    <wps:wsp>
                      <wps:cNvSpPr/>
                      <wps:spPr>
                        <a:xfrm>
                          <a:off x="0" y="0"/>
                          <a:ext cx="251460" cy="37338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rsidR="00984119" w:rsidRPr="009265CE" w:rsidRDefault="00984119" w:rsidP="00326FF9">
                            <w:pPr>
                              <w:ind w:right="18"/>
                              <w:jc w:val="center"/>
                              <w:rPr>
                                <w:color w:val="FF0000"/>
                                <w:sz w:val="40"/>
                                <w:szCs w:val="40"/>
                              </w:rPr>
                            </w:pPr>
                            <w:r w:rsidRPr="009265CE">
                              <w:rPr>
                                <w:color w:val="FF0000"/>
                                <w:sz w:val="40"/>
                                <w:szCs w:val="4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73CA20" id="_x0000_s1029" style="position:absolute;left:0;text-align:left;margin-left:169.5pt;margin-top:164.35pt;width:19.8pt;height:29.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" filled="f" stroked="f" strokeweight="1pt">
                <v:textbox>
                  <w:txbxContent>
                    <w:p w:rsidR="00984119" w:rsidRPr="009265CE" w:rsidRDefault="00984119" w:rsidP="00326FF9">
                      <w:pPr>
                        <w:ind w:right="18"/>
                        <w:jc w:val="center"/>
                        <w:rPr>
                          <w:color w:val="FF0000"/>
                          <w:sz w:val="40"/>
                          <w:szCs w:val="40"/>
                        </w:rPr>
                      </w:pPr>
                      <w:r w:rsidRPr="009265CE">
                        <w:rPr>
                          <w:color w:val="FF0000"/>
                          <w:sz w:val="40"/>
                          <w:szCs w:val="40"/>
                        </w:rPr>
                        <w:t>*</w:t>
                      </w:r>
                    </w:p>
                  </w:txbxContent>
                </v:textbox>
              </v:rect>
            </w:pict>
          </mc:Fallback>
        </mc:AlternateContent>
      </w:r>
      <w:r w:rsidR="00326FF9" w:rsidRPr="00CB0B61">
        <w:rPr>
          <w:noProof/>
          <w:color w:val="000000" w:themeColor="text1"/>
        </w:rPr>
        <w:drawing>
          <wp:inline distT="0" distB="0" distL="0" distR="0" wp14:anchorId="6A925E38" wp14:editId="0C358228">
            <wp:extent cx="4131061" cy="2738152"/>
            <wp:effectExtent l="0" t="0" r="3175" b="508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34820" cy="2740644"/>
                    </a:xfrm>
                    <a:prstGeom prst="rect">
                      <a:avLst/>
                    </a:prstGeom>
                  </pic:spPr>
                </pic:pic>
              </a:graphicData>
            </a:graphic>
          </wp:inline>
        </w:drawing>
      </w:r>
    </w:p>
    <w:p w:rsidR="00EB23B9" w:rsidRPr="00CB0B61" w:rsidRDefault="00BB366A" w:rsidP="00B06B8E">
      <w:pPr>
        <w:pStyle w:val="NormalWeb"/>
        <w:spacing w:before="0" w:beforeAutospacing="0" w:after="0" w:afterAutospacing="0" w:line="312" w:lineRule="auto"/>
        <w:ind w:firstLine="454"/>
        <w:jc w:val="both"/>
        <w:rPr>
          <w:color w:val="1B1C1D"/>
          <w:sz w:val="22"/>
          <w:szCs w:val="22"/>
        </w:rPr>
      </w:pPr>
      <w:r w:rsidRPr="00CB0B61">
        <w:rPr>
          <w:rStyle w:val="citation-196"/>
          <w:sz w:val="22"/>
          <w:szCs w:val="22"/>
        </w:rPr>
        <w:t>The chart depicting changes in pulmonary compliance clearly demonstrates the efficacy of the intervention on respiratory function</w:t>
      </w:r>
      <w:r w:rsidRPr="00CB0B61">
        <w:rPr>
          <w:sz w:val="22"/>
          <w:szCs w:val="22"/>
        </w:rPr>
        <w:t xml:space="preserve">. </w:t>
      </w:r>
      <w:r w:rsidRPr="00CB0B61">
        <w:rPr>
          <w:rStyle w:val="citation-195"/>
          <w:sz w:val="22"/>
          <w:szCs w:val="22"/>
        </w:rPr>
        <w:t>Compared to the control group, the intervention group showed a significant and statistically meaningful improvement in lung compliance</w:t>
      </w:r>
      <w:r w:rsidRPr="00CB0B61">
        <w:rPr>
          <w:sz w:val="22"/>
          <w:szCs w:val="22"/>
        </w:rPr>
        <w:t xml:space="preserve">. </w:t>
      </w:r>
      <w:r w:rsidRPr="00CB0B61">
        <w:rPr>
          <w:rStyle w:val="citation-194"/>
          <w:sz w:val="22"/>
          <w:szCs w:val="22"/>
        </w:rPr>
        <w:t>This difference became apparent from day 4 onwards, indicating a positive and sustained impact of the intervention on pulmonary mechanics.</w:t>
      </w:r>
    </w:p>
    <w:p w:rsidR="00BF7EFC" w:rsidRDefault="00BF7EFC">
      <w:pPr>
        <w:rPr>
          <w:rFonts w:ascii="Times New Roman" w:eastAsia="Times New Roman" w:hAnsi="Times New Roman" w:cs="Times New Roman"/>
          <w:b/>
        </w:rPr>
      </w:pPr>
      <w:r>
        <w:rPr>
          <w:b/>
        </w:rPr>
        <w:br w:type="page"/>
      </w:r>
    </w:p>
    <w:p w:rsidR="00EB23B9" w:rsidRPr="00CB0B61" w:rsidRDefault="00BB366A" w:rsidP="00B06B8E">
      <w:pPr>
        <w:pStyle w:val="NormalWeb"/>
        <w:spacing w:before="0" w:beforeAutospacing="0" w:after="0" w:afterAutospacing="0" w:line="312" w:lineRule="auto"/>
        <w:jc w:val="center"/>
        <w:rPr>
          <w:b/>
          <w:color w:val="1B1C1D"/>
          <w:sz w:val="22"/>
          <w:szCs w:val="22"/>
        </w:rPr>
      </w:pPr>
      <w:r w:rsidRPr="00CB0B61">
        <w:rPr>
          <w:b/>
          <w:sz w:val="22"/>
          <w:szCs w:val="22"/>
        </w:rPr>
        <w:lastRenderedPageBreak/>
        <w:t>Table 9. Progression of the L</w:t>
      </w:r>
      <w:r w:rsidR="00665F36">
        <w:rPr>
          <w:b/>
          <w:sz w:val="22"/>
          <w:szCs w:val="22"/>
        </w:rPr>
        <w:t>ung Injury Score</w:t>
      </w:r>
    </w:p>
    <w:tbl>
      <w:tblPr>
        <w:tblStyle w:val="TableGrid1"/>
        <w:tblW w:w="6854" w:type="dxa"/>
        <w:jc w:val="center"/>
        <w:tblLayout w:type="fixed"/>
        <w:tblLook w:val="04A0" w:firstRow="1" w:lastRow="0" w:firstColumn="1" w:lastColumn="0" w:noHBand="0" w:noVBand="1"/>
      </w:tblPr>
      <w:tblGrid>
        <w:gridCol w:w="1395"/>
        <w:gridCol w:w="1624"/>
        <w:gridCol w:w="1288"/>
        <w:gridCol w:w="616"/>
        <w:gridCol w:w="658"/>
        <w:gridCol w:w="630"/>
        <w:gridCol w:w="643"/>
      </w:tblGrid>
      <w:tr w:rsidR="00326FF9" w:rsidRPr="00CB0B61" w:rsidTr="00BF7EFC">
        <w:trPr>
          <w:trHeight w:val="723"/>
          <w:jc w:val="center"/>
        </w:trPr>
        <w:tc>
          <w:tcPr>
            <w:tcW w:w="1395" w:type="dxa"/>
            <w:vAlign w:val="center"/>
          </w:tcPr>
          <w:p w:rsidR="00326FF9" w:rsidRPr="00CB0B61" w:rsidRDefault="00BB366A" w:rsidP="00B06B8E">
            <w:pPr>
              <w:spacing w:line="312" w:lineRule="auto"/>
              <w:jc w:val="center"/>
              <w:rPr>
                <w:rFonts w:ascii="Times New Roman" w:hAnsi="Times New Roman" w:cs="Times New Roman"/>
                <w:b/>
                <w:bCs/>
                <w:color w:val="000000" w:themeColor="text1"/>
                <w:lang w:val="en-US"/>
              </w:rPr>
            </w:pPr>
            <w:r w:rsidRPr="00CB0B61">
              <w:rPr>
                <w:rFonts w:ascii="Times New Roman" w:hAnsi="Times New Roman" w:cs="Times New Roman"/>
                <w:b/>
                <w:bCs/>
                <w:color w:val="000000" w:themeColor="text1"/>
                <w:lang w:val="en-US"/>
              </w:rPr>
              <w:t>Group</w:t>
            </w:r>
          </w:p>
        </w:tc>
        <w:tc>
          <w:tcPr>
            <w:tcW w:w="1624" w:type="dxa"/>
            <w:vAlign w:val="center"/>
          </w:tcPr>
          <w:p w:rsidR="00326FF9" w:rsidRPr="00CB0B61" w:rsidRDefault="00BB366A" w:rsidP="00B06B8E">
            <w:pPr>
              <w:spacing w:line="312" w:lineRule="auto"/>
              <w:jc w:val="center"/>
              <w:rPr>
                <w:rFonts w:ascii="Times New Roman" w:hAnsi="Times New Roman" w:cs="Times New Roman"/>
                <w:b/>
                <w:bCs/>
                <w:color w:val="000000" w:themeColor="text1"/>
              </w:rPr>
            </w:pPr>
            <w:r w:rsidRPr="00CB0B61">
              <w:rPr>
                <w:rFonts w:ascii="Times New Roman" w:hAnsi="Times New Roman" w:cs="Times New Roman"/>
                <w:b/>
                <w:bCs/>
                <w:color w:val="000000" w:themeColor="text1"/>
                <w:lang w:val="en-US"/>
              </w:rPr>
              <w:t>Day</w:t>
            </w:r>
            <w:r w:rsidR="00326FF9" w:rsidRPr="00CB0B61">
              <w:rPr>
                <w:rFonts w:ascii="Times New Roman" w:hAnsi="Times New Roman" w:cs="Times New Roman"/>
                <w:b/>
                <w:bCs/>
                <w:color w:val="000000" w:themeColor="text1"/>
              </w:rPr>
              <w:t xml:space="preserve"> 1</w:t>
            </w:r>
          </w:p>
          <w:p w:rsidR="00326FF9" w:rsidRPr="00CB0B61" w:rsidRDefault="00BB366A" w:rsidP="00B06B8E">
            <w:pPr>
              <w:spacing w:line="312" w:lineRule="auto"/>
              <w:jc w:val="center"/>
              <w:rPr>
                <w:rFonts w:ascii="Times New Roman" w:hAnsi="Times New Roman" w:cs="Times New Roman"/>
                <w:b/>
                <w:bCs/>
                <w:color w:val="000000" w:themeColor="text1"/>
                <w:vertAlign w:val="superscript"/>
              </w:rPr>
            </w:pPr>
            <w:r w:rsidRPr="00CB0B61">
              <w:rPr>
                <w:rFonts w:ascii="Times New Roman" w:hAnsi="Times New Roman" w:cs="Times New Roman"/>
                <w:b/>
                <w:bCs/>
                <w:color w:val="000000" w:themeColor="text1"/>
                <w:lang w:val="en-US"/>
              </w:rPr>
              <w:t>Median</w:t>
            </w:r>
            <w:r w:rsidR="00326FF9" w:rsidRPr="00CB0B61">
              <w:rPr>
                <w:rFonts w:ascii="Times New Roman" w:hAnsi="Times New Roman" w:cs="Times New Roman"/>
                <w:b/>
                <w:bCs/>
                <w:color w:val="000000" w:themeColor="text1"/>
              </w:rPr>
              <w:t xml:space="preserve"> (IQR)</w:t>
            </w:r>
            <w:r w:rsidR="00326FF9" w:rsidRPr="00CB0B61">
              <w:rPr>
                <w:rFonts w:ascii="Times New Roman" w:hAnsi="Times New Roman" w:cs="Times New Roman"/>
                <w:b/>
                <w:bCs/>
                <w:color w:val="000000" w:themeColor="text1"/>
                <w:vertAlign w:val="superscript"/>
              </w:rPr>
              <w:t>a</w:t>
            </w:r>
          </w:p>
        </w:tc>
        <w:tc>
          <w:tcPr>
            <w:tcW w:w="1288" w:type="dxa"/>
            <w:vAlign w:val="center"/>
          </w:tcPr>
          <w:p w:rsidR="00326FF9" w:rsidRPr="00CB0B61" w:rsidRDefault="00BB366A" w:rsidP="00B06B8E">
            <w:pPr>
              <w:spacing w:line="312" w:lineRule="auto"/>
              <w:jc w:val="center"/>
              <w:rPr>
                <w:rFonts w:ascii="Times New Roman" w:hAnsi="Times New Roman" w:cs="Times New Roman"/>
                <w:b/>
                <w:bCs/>
                <w:color w:val="000000" w:themeColor="text1"/>
              </w:rPr>
            </w:pPr>
            <w:r w:rsidRPr="00CB0B61">
              <w:rPr>
                <w:rFonts w:ascii="Times New Roman" w:hAnsi="Times New Roman" w:cs="Times New Roman"/>
                <w:b/>
                <w:bCs/>
                <w:color w:val="000000" w:themeColor="text1"/>
                <w:lang w:val="en-US"/>
              </w:rPr>
              <w:t>Day</w:t>
            </w:r>
            <w:r w:rsidR="00326FF9" w:rsidRPr="00CB0B61">
              <w:rPr>
                <w:rFonts w:ascii="Times New Roman" w:hAnsi="Times New Roman" w:cs="Times New Roman"/>
                <w:b/>
                <w:bCs/>
                <w:color w:val="000000" w:themeColor="text1"/>
              </w:rPr>
              <w:t xml:space="preserve"> 7</w:t>
            </w:r>
          </w:p>
          <w:p w:rsidR="00326FF9" w:rsidRPr="00CB0B61" w:rsidRDefault="00BB366A" w:rsidP="00B06B8E">
            <w:pPr>
              <w:spacing w:line="312" w:lineRule="auto"/>
              <w:jc w:val="center"/>
              <w:rPr>
                <w:rFonts w:ascii="Times New Roman" w:hAnsi="Times New Roman" w:cs="Times New Roman"/>
                <w:b/>
                <w:bCs/>
                <w:color w:val="000000" w:themeColor="text1"/>
                <w:vertAlign w:val="superscript"/>
              </w:rPr>
            </w:pPr>
            <w:r w:rsidRPr="00CB0B61">
              <w:rPr>
                <w:rFonts w:ascii="Times New Roman" w:hAnsi="Times New Roman" w:cs="Times New Roman"/>
                <w:b/>
                <w:bCs/>
                <w:color w:val="000000" w:themeColor="text1"/>
                <w:lang w:val="en-US"/>
              </w:rPr>
              <w:t>Median</w:t>
            </w:r>
            <w:r w:rsidR="00326FF9" w:rsidRPr="00CB0B61">
              <w:rPr>
                <w:rFonts w:ascii="Times New Roman" w:hAnsi="Times New Roman" w:cs="Times New Roman"/>
                <w:b/>
                <w:bCs/>
                <w:color w:val="000000" w:themeColor="text1"/>
              </w:rPr>
              <w:t xml:space="preserve"> (IQR)</w:t>
            </w:r>
            <w:r w:rsidR="00326FF9" w:rsidRPr="00CB0B61">
              <w:rPr>
                <w:rFonts w:ascii="Times New Roman" w:hAnsi="Times New Roman" w:cs="Times New Roman"/>
                <w:b/>
                <w:bCs/>
                <w:color w:val="000000" w:themeColor="text1"/>
                <w:vertAlign w:val="superscript"/>
              </w:rPr>
              <w:t>b</w:t>
            </w:r>
          </w:p>
        </w:tc>
        <w:tc>
          <w:tcPr>
            <w:tcW w:w="616" w:type="dxa"/>
            <w:vAlign w:val="center"/>
          </w:tcPr>
          <w:p w:rsidR="00326FF9" w:rsidRPr="00CB0B61" w:rsidRDefault="00326FF9" w:rsidP="00B06B8E">
            <w:pPr>
              <w:spacing w:line="312" w:lineRule="auto"/>
              <w:jc w:val="center"/>
              <w:rPr>
                <w:rFonts w:ascii="Times New Roman" w:hAnsi="Times New Roman" w:cs="Times New Roman"/>
                <w:b/>
                <w:bCs/>
                <w:color w:val="000000" w:themeColor="text1"/>
                <w:vertAlign w:val="superscript"/>
              </w:rPr>
            </w:pPr>
            <w:r w:rsidRPr="00CB0B61">
              <w:rPr>
                <w:rFonts w:ascii="Times New Roman" w:hAnsi="Times New Roman" w:cs="Times New Roman"/>
                <w:b/>
                <w:bCs/>
                <w:color w:val="000000" w:themeColor="text1"/>
              </w:rPr>
              <w:t>P</w:t>
            </w:r>
            <w:r w:rsidRPr="00CB0B61">
              <w:rPr>
                <w:rFonts w:ascii="Times New Roman" w:hAnsi="Times New Roman" w:cs="Times New Roman"/>
                <w:b/>
                <w:bCs/>
                <w:color w:val="000000" w:themeColor="text1"/>
                <w:vertAlign w:val="superscript"/>
              </w:rPr>
              <w:t>1-2 (a)</w:t>
            </w:r>
          </w:p>
        </w:tc>
        <w:tc>
          <w:tcPr>
            <w:tcW w:w="658" w:type="dxa"/>
            <w:vAlign w:val="center"/>
          </w:tcPr>
          <w:p w:rsidR="00326FF9" w:rsidRPr="00CB0B61" w:rsidRDefault="00326FF9" w:rsidP="00B06B8E">
            <w:pPr>
              <w:spacing w:line="312" w:lineRule="auto"/>
              <w:jc w:val="center"/>
              <w:rPr>
                <w:rFonts w:ascii="Times New Roman" w:hAnsi="Times New Roman" w:cs="Times New Roman"/>
                <w:b/>
                <w:bCs/>
                <w:color w:val="000000" w:themeColor="text1"/>
                <w:vertAlign w:val="superscript"/>
              </w:rPr>
            </w:pPr>
            <w:r w:rsidRPr="00CB0B61">
              <w:rPr>
                <w:rFonts w:ascii="Times New Roman" w:hAnsi="Times New Roman" w:cs="Times New Roman"/>
                <w:b/>
                <w:bCs/>
                <w:color w:val="000000" w:themeColor="text1"/>
              </w:rPr>
              <w:t>P</w:t>
            </w:r>
            <w:r w:rsidRPr="00CB0B61">
              <w:rPr>
                <w:rFonts w:ascii="Times New Roman" w:hAnsi="Times New Roman" w:cs="Times New Roman"/>
                <w:b/>
                <w:bCs/>
                <w:color w:val="000000" w:themeColor="text1"/>
                <w:vertAlign w:val="superscript"/>
              </w:rPr>
              <w:t>1-2 (b)</w:t>
            </w:r>
          </w:p>
        </w:tc>
        <w:tc>
          <w:tcPr>
            <w:tcW w:w="630" w:type="dxa"/>
            <w:vAlign w:val="center"/>
          </w:tcPr>
          <w:p w:rsidR="00326FF9" w:rsidRPr="00CB0B61" w:rsidRDefault="00326FF9" w:rsidP="00B06B8E">
            <w:pPr>
              <w:spacing w:line="312" w:lineRule="auto"/>
              <w:jc w:val="center"/>
              <w:rPr>
                <w:rFonts w:ascii="Times New Roman" w:hAnsi="Times New Roman" w:cs="Times New Roman"/>
                <w:b/>
                <w:bCs/>
                <w:color w:val="000000" w:themeColor="text1"/>
                <w:vertAlign w:val="superscript"/>
              </w:rPr>
            </w:pPr>
            <w:r w:rsidRPr="00CB0B61">
              <w:rPr>
                <w:rFonts w:ascii="Times New Roman" w:hAnsi="Times New Roman" w:cs="Times New Roman"/>
                <w:b/>
                <w:bCs/>
                <w:color w:val="000000" w:themeColor="text1"/>
              </w:rPr>
              <w:t>P</w:t>
            </w:r>
            <w:r w:rsidRPr="00CB0B61">
              <w:rPr>
                <w:rFonts w:ascii="Times New Roman" w:hAnsi="Times New Roman" w:cs="Times New Roman"/>
                <w:b/>
                <w:bCs/>
                <w:color w:val="000000" w:themeColor="text1"/>
                <w:vertAlign w:val="superscript"/>
              </w:rPr>
              <w:t>a-b (1)</w:t>
            </w:r>
          </w:p>
        </w:tc>
        <w:tc>
          <w:tcPr>
            <w:tcW w:w="643" w:type="dxa"/>
            <w:vAlign w:val="center"/>
          </w:tcPr>
          <w:p w:rsidR="00326FF9" w:rsidRPr="00CB0B61" w:rsidRDefault="00326FF9" w:rsidP="00B06B8E">
            <w:pPr>
              <w:spacing w:line="312" w:lineRule="auto"/>
              <w:jc w:val="center"/>
              <w:rPr>
                <w:rFonts w:ascii="Times New Roman" w:hAnsi="Times New Roman" w:cs="Times New Roman"/>
                <w:b/>
                <w:bCs/>
                <w:color w:val="000000" w:themeColor="text1"/>
                <w:vertAlign w:val="superscript"/>
              </w:rPr>
            </w:pPr>
            <w:r w:rsidRPr="00CB0B61">
              <w:rPr>
                <w:rFonts w:ascii="Times New Roman" w:hAnsi="Times New Roman" w:cs="Times New Roman"/>
                <w:b/>
                <w:bCs/>
                <w:color w:val="000000" w:themeColor="text1"/>
              </w:rPr>
              <w:t>P</w:t>
            </w:r>
            <w:r w:rsidRPr="00CB0B61">
              <w:rPr>
                <w:rFonts w:ascii="Times New Roman" w:hAnsi="Times New Roman" w:cs="Times New Roman"/>
                <w:b/>
                <w:bCs/>
                <w:color w:val="000000" w:themeColor="text1"/>
                <w:vertAlign w:val="superscript"/>
              </w:rPr>
              <w:t>a-b(2)</w:t>
            </w:r>
          </w:p>
        </w:tc>
      </w:tr>
      <w:tr w:rsidR="00326FF9" w:rsidRPr="00CB0B61" w:rsidTr="00BF7EFC">
        <w:trPr>
          <w:trHeight w:val="60"/>
          <w:jc w:val="center"/>
        </w:trPr>
        <w:tc>
          <w:tcPr>
            <w:tcW w:w="6854" w:type="dxa"/>
            <w:gridSpan w:val="7"/>
            <w:vAlign w:val="center"/>
          </w:tcPr>
          <w:p w:rsidR="00326FF9" w:rsidRPr="00CB0B61" w:rsidRDefault="00326FF9" w:rsidP="00B06B8E">
            <w:pPr>
              <w:spacing w:line="312" w:lineRule="auto"/>
              <w:rPr>
                <w:rFonts w:ascii="Times New Roman" w:hAnsi="Times New Roman" w:cs="Times New Roman"/>
                <w:b/>
                <w:bCs/>
                <w:color w:val="000000" w:themeColor="text1"/>
              </w:rPr>
            </w:pPr>
            <w:r w:rsidRPr="00CB0B61">
              <w:rPr>
                <w:rFonts w:ascii="Times New Roman" w:hAnsi="Times New Roman" w:cs="Times New Roman"/>
                <w:b/>
                <w:bCs/>
                <w:color w:val="000000" w:themeColor="text1"/>
              </w:rPr>
              <w:t>LIS score</w:t>
            </w:r>
          </w:p>
        </w:tc>
      </w:tr>
      <w:tr w:rsidR="00326FF9" w:rsidRPr="00CB0B61" w:rsidTr="00BF7EFC">
        <w:trPr>
          <w:trHeight w:val="341"/>
          <w:jc w:val="center"/>
        </w:trPr>
        <w:tc>
          <w:tcPr>
            <w:tcW w:w="1395" w:type="dxa"/>
            <w:vAlign w:val="center"/>
          </w:tcPr>
          <w:p w:rsidR="00326FF9" w:rsidRPr="00CB0B61" w:rsidRDefault="00BB366A" w:rsidP="00B06B8E">
            <w:pPr>
              <w:spacing w:line="312" w:lineRule="auto"/>
              <w:rPr>
                <w:rFonts w:ascii="Times New Roman" w:hAnsi="Times New Roman" w:cs="Times New Roman"/>
                <w:color w:val="000000" w:themeColor="text1"/>
              </w:rPr>
            </w:pPr>
            <w:r w:rsidRPr="00CB0B61">
              <w:rPr>
                <w:rFonts w:ascii="Times New Roman" w:hAnsi="Times New Roman" w:cs="Times New Roman"/>
                <w:b/>
                <w:color w:val="000000" w:themeColor="text1"/>
              </w:rPr>
              <w:t xml:space="preserve">Control </w:t>
            </w:r>
            <w:r w:rsidR="00326FF9" w:rsidRPr="00CB0B61">
              <w:rPr>
                <w:rFonts w:ascii="Times New Roman" w:hAnsi="Times New Roman" w:cs="Times New Roman"/>
                <w:color w:val="000000" w:themeColor="text1"/>
              </w:rPr>
              <w:t>(n=38)</w:t>
            </w:r>
          </w:p>
        </w:tc>
        <w:tc>
          <w:tcPr>
            <w:tcW w:w="1624" w:type="dxa"/>
            <w:vAlign w:val="center"/>
          </w:tcPr>
          <w:p w:rsidR="00BF7EFC" w:rsidRDefault="00326FF9" w:rsidP="00B06B8E">
            <w:pPr>
              <w:spacing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 xml:space="preserve">1,125 </w:t>
            </w:r>
          </w:p>
          <w:p w:rsidR="00326FF9" w:rsidRPr="00CB0B61" w:rsidRDefault="00326FF9" w:rsidP="00B06B8E">
            <w:pPr>
              <w:spacing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(0,75-1,5)</w:t>
            </w:r>
          </w:p>
        </w:tc>
        <w:tc>
          <w:tcPr>
            <w:tcW w:w="1288" w:type="dxa"/>
            <w:vAlign w:val="center"/>
          </w:tcPr>
          <w:p w:rsidR="00BF7EFC" w:rsidRDefault="00326FF9" w:rsidP="00B06B8E">
            <w:pPr>
              <w:spacing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 xml:space="preserve">1,375 </w:t>
            </w:r>
          </w:p>
          <w:p w:rsidR="00326FF9" w:rsidRPr="00CB0B61" w:rsidRDefault="00326FF9" w:rsidP="00B06B8E">
            <w:pPr>
              <w:spacing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(1-2,25)</w:t>
            </w:r>
          </w:p>
        </w:tc>
        <w:tc>
          <w:tcPr>
            <w:tcW w:w="616" w:type="dxa"/>
            <w:vMerge w:val="restart"/>
            <w:vAlign w:val="center"/>
          </w:tcPr>
          <w:p w:rsidR="00326FF9" w:rsidRPr="00CB0B61" w:rsidRDefault="00326FF9" w:rsidP="00B06B8E">
            <w:pPr>
              <w:spacing w:line="312" w:lineRule="auto"/>
              <w:jc w:val="center"/>
              <w:rPr>
                <w:rFonts w:ascii="Times New Roman" w:hAnsi="Times New Roman" w:cs="Times New Roman"/>
                <w:color w:val="000000" w:themeColor="text1"/>
              </w:rPr>
            </w:pPr>
          </w:p>
          <w:p w:rsidR="00326FF9" w:rsidRPr="00CB0B61" w:rsidRDefault="00326FF9" w:rsidP="00B06B8E">
            <w:pPr>
              <w:spacing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0,37</w:t>
            </w:r>
          </w:p>
        </w:tc>
        <w:tc>
          <w:tcPr>
            <w:tcW w:w="658" w:type="dxa"/>
            <w:vMerge w:val="restart"/>
            <w:vAlign w:val="center"/>
          </w:tcPr>
          <w:p w:rsidR="00326FF9" w:rsidRPr="00CB0B61" w:rsidRDefault="00326FF9" w:rsidP="00B06B8E">
            <w:pPr>
              <w:spacing w:line="312" w:lineRule="auto"/>
              <w:jc w:val="center"/>
              <w:rPr>
                <w:rFonts w:ascii="Times New Roman" w:hAnsi="Times New Roman" w:cs="Times New Roman"/>
                <w:color w:val="000000" w:themeColor="text1"/>
              </w:rPr>
            </w:pPr>
          </w:p>
          <w:p w:rsidR="00326FF9" w:rsidRPr="00CB0B61" w:rsidRDefault="00326FF9" w:rsidP="00B06B8E">
            <w:pPr>
              <w:spacing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0,02</w:t>
            </w:r>
          </w:p>
        </w:tc>
        <w:tc>
          <w:tcPr>
            <w:tcW w:w="630" w:type="dxa"/>
            <w:vMerge w:val="restart"/>
            <w:vAlign w:val="center"/>
          </w:tcPr>
          <w:p w:rsidR="00326FF9" w:rsidRPr="00CB0B61" w:rsidRDefault="00326FF9" w:rsidP="00B06B8E">
            <w:pPr>
              <w:spacing w:line="312" w:lineRule="auto"/>
              <w:jc w:val="center"/>
              <w:rPr>
                <w:rFonts w:ascii="Times New Roman" w:hAnsi="Times New Roman" w:cs="Times New Roman"/>
                <w:color w:val="000000" w:themeColor="text1"/>
              </w:rPr>
            </w:pPr>
          </w:p>
          <w:p w:rsidR="00326FF9" w:rsidRPr="00CB0B61" w:rsidRDefault="00326FF9" w:rsidP="00B06B8E">
            <w:pPr>
              <w:spacing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0,04</w:t>
            </w:r>
          </w:p>
        </w:tc>
        <w:tc>
          <w:tcPr>
            <w:tcW w:w="643" w:type="dxa"/>
            <w:vMerge w:val="restart"/>
            <w:vAlign w:val="center"/>
          </w:tcPr>
          <w:p w:rsidR="00326FF9" w:rsidRPr="00CB0B61" w:rsidRDefault="00326FF9" w:rsidP="00B06B8E">
            <w:pPr>
              <w:spacing w:line="312" w:lineRule="auto"/>
              <w:jc w:val="center"/>
              <w:rPr>
                <w:rFonts w:ascii="Times New Roman" w:hAnsi="Times New Roman" w:cs="Times New Roman"/>
                <w:color w:val="000000" w:themeColor="text1"/>
              </w:rPr>
            </w:pPr>
          </w:p>
          <w:p w:rsidR="00326FF9" w:rsidRPr="00CB0B61" w:rsidRDefault="00326FF9" w:rsidP="00B06B8E">
            <w:pPr>
              <w:spacing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0,65</w:t>
            </w:r>
          </w:p>
        </w:tc>
      </w:tr>
      <w:tr w:rsidR="00326FF9" w:rsidRPr="00CB0B61" w:rsidTr="00BF7EFC">
        <w:trPr>
          <w:trHeight w:val="125"/>
          <w:jc w:val="center"/>
        </w:trPr>
        <w:tc>
          <w:tcPr>
            <w:tcW w:w="1395" w:type="dxa"/>
            <w:vAlign w:val="center"/>
          </w:tcPr>
          <w:p w:rsidR="00326FF9" w:rsidRPr="00CB0B61" w:rsidRDefault="00BB366A" w:rsidP="00B06B8E">
            <w:pPr>
              <w:spacing w:line="312" w:lineRule="auto"/>
              <w:rPr>
                <w:rFonts w:ascii="Times New Roman" w:hAnsi="Times New Roman" w:cs="Times New Roman"/>
                <w:color w:val="000000" w:themeColor="text1"/>
              </w:rPr>
            </w:pPr>
            <w:r w:rsidRPr="00CB0B61">
              <w:rPr>
                <w:rFonts w:ascii="Times New Roman" w:hAnsi="Times New Roman" w:cs="Times New Roman"/>
                <w:b/>
                <w:color w:val="000000" w:themeColor="text1"/>
              </w:rPr>
              <w:t xml:space="preserve">Intervention </w:t>
            </w:r>
            <w:r w:rsidR="00326FF9" w:rsidRPr="00CB0B61">
              <w:rPr>
                <w:rFonts w:ascii="Times New Roman" w:hAnsi="Times New Roman" w:cs="Times New Roman"/>
                <w:color w:val="000000" w:themeColor="text1"/>
              </w:rPr>
              <w:t>(n=38)</w:t>
            </w:r>
          </w:p>
        </w:tc>
        <w:tc>
          <w:tcPr>
            <w:tcW w:w="1624" w:type="dxa"/>
            <w:vAlign w:val="center"/>
          </w:tcPr>
          <w:p w:rsidR="00BF7EFC" w:rsidRDefault="00326FF9" w:rsidP="00B06B8E">
            <w:pPr>
              <w:spacing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 xml:space="preserve">1 </w:t>
            </w:r>
          </w:p>
          <w:p w:rsidR="00326FF9" w:rsidRPr="00CB0B61" w:rsidRDefault="00326FF9" w:rsidP="00B06B8E">
            <w:pPr>
              <w:spacing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(0,75-1,5)</w:t>
            </w:r>
          </w:p>
        </w:tc>
        <w:tc>
          <w:tcPr>
            <w:tcW w:w="1288" w:type="dxa"/>
            <w:vAlign w:val="center"/>
          </w:tcPr>
          <w:p w:rsidR="00BF7EFC" w:rsidRDefault="00326FF9" w:rsidP="00B06B8E">
            <w:pPr>
              <w:spacing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 xml:space="preserve">1 </w:t>
            </w:r>
          </w:p>
          <w:p w:rsidR="00326FF9" w:rsidRPr="00CB0B61" w:rsidRDefault="00326FF9" w:rsidP="00B06B8E">
            <w:pPr>
              <w:spacing w:line="312"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(0,5-1,75)</w:t>
            </w:r>
          </w:p>
        </w:tc>
        <w:tc>
          <w:tcPr>
            <w:tcW w:w="616" w:type="dxa"/>
            <w:vMerge/>
            <w:vAlign w:val="center"/>
          </w:tcPr>
          <w:p w:rsidR="00326FF9" w:rsidRPr="00CB0B61" w:rsidRDefault="00326FF9" w:rsidP="00B06B8E">
            <w:pPr>
              <w:spacing w:line="312" w:lineRule="auto"/>
              <w:jc w:val="center"/>
              <w:rPr>
                <w:rFonts w:ascii="Times New Roman" w:hAnsi="Times New Roman" w:cs="Times New Roman"/>
                <w:color w:val="000000" w:themeColor="text1"/>
              </w:rPr>
            </w:pPr>
          </w:p>
        </w:tc>
        <w:tc>
          <w:tcPr>
            <w:tcW w:w="658" w:type="dxa"/>
            <w:vMerge/>
            <w:vAlign w:val="center"/>
          </w:tcPr>
          <w:p w:rsidR="00326FF9" w:rsidRPr="00CB0B61" w:rsidRDefault="00326FF9" w:rsidP="00B06B8E">
            <w:pPr>
              <w:spacing w:line="312" w:lineRule="auto"/>
              <w:jc w:val="center"/>
              <w:rPr>
                <w:rFonts w:ascii="Times New Roman" w:hAnsi="Times New Roman" w:cs="Times New Roman"/>
                <w:color w:val="000000" w:themeColor="text1"/>
              </w:rPr>
            </w:pPr>
          </w:p>
        </w:tc>
        <w:tc>
          <w:tcPr>
            <w:tcW w:w="630" w:type="dxa"/>
            <w:vMerge/>
            <w:vAlign w:val="center"/>
          </w:tcPr>
          <w:p w:rsidR="00326FF9" w:rsidRPr="00CB0B61" w:rsidRDefault="00326FF9" w:rsidP="00B06B8E">
            <w:pPr>
              <w:spacing w:line="312" w:lineRule="auto"/>
              <w:jc w:val="center"/>
              <w:rPr>
                <w:rFonts w:ascii="Times New Roman" w:hAnsi="Times New Roman" w:cs="Times New Roman"/>
                <w:color w:val="000000" w:themeColor="text1"/>
              </w:rPr>
            </w:pPr>
          </w:p>
        </w:tc>
        <w:tc>
          <w:tcPr>
            <w:tcW w:w="643" w:type="dxa"/>
            <w:vMerge/>
            <w:vAlign w:val="center"/>
          </w:tcPr>
          <w:p w:rsidR="00326FF9" w:rsidRPr="00CB0B61" w:rsidRDefault="00326FF9" w:rsidP="00B06B8E">
            <w:pPr>
              <w:spacing w:line="312" w:lineRule="auto"/>
              <w:jc w:val="center"/>
              <w:rPr>
                <w:rFonts w:ascii="Times New Roman" w:hAnsi="Times New Roman" w:cs="Times New Roman"/>
                <w:color w:val="000000" w:themeColor="text1"/>
              </w:rPr>
            </w:pPr>
          </w:p>
        </w:tc>
      </w:tr>
    </w:tbl>
    <w:p w:rsidR="00EB23B9" w:rsidRPr="00CB0B61" w:rsidRDefault="00665F36" w:rsidP="00B06B8E">
      <w:pPr>
        <w:pStyle w:val="NormalWeb"/>
        <w:spacing w:before="0" w:beforeAutospacing="0" w:after="0" w:afterAutospacing="0" w:line="312" w:lineRule="auto"/>
        <w:ind w:firstLine="454"/>
        <w:jc w:val="both"/>
        <w:rPr>
          <w:color w:val="1B1C1D"/>
          <w:sz w:val="22"/>
          <w:szCs w:val="22"/>
        </w:rPr>
      </w:pPr>
      <w:r>
        <w:rPr>
          <w:rStyle w:val="citation-192"/>
          <w:sz w:val="22"/>
          <w:szCs w:val="22"/>
        </w:rPr>
        <w:t>The Lung Injury Score</w:t>
      </w:r>
      <w:r w:rsidR="00BB366A" w:rsidRPr="00CB0B61">
        <w:rPr>
          <w:rStyle w:val="citation-192"/>
          <w:sz w:val="22"/>
          <w:szCs w:val="22"/>
        </w:rPr>
        <w:t xml:space="preserve"> worsened significantly in the control group after 7 days, whereas it remained stable in the intervention group</w:t>
      </w:r>
      <w:r w:rsidR="00BB366A" w:rsidRPr="00CB0B61">
        <w:rPr>
          <w:sz w:val="22"/>
          <w:szCs w:val="22"/>
        </w:rPr>
        <w:t xml:space="preserve">. </w:t>
      </w:r>
      <w:r w:rsidR="00BB366A" w:rsidRPr="00CB0B61">
        <w:rPr>
          <w:rStyle w:val="citation-191"/>
          <w:sz w:val="22"/>
          <w:szCs w:val="22"/>
        </w:rPr>
        <w:t>The statistically significant difference in LIS between the two groups on day 7 confirms that the intervention effectively prevented the progression of acute lung injury</w:t>
      </w:r>
      <w:r w:rsidR="00EB23B9" w:rsidRPr="00CB0B61">
        <w:rPr>
          <w:color w:val="1B1C1D"/>
          <w:sz w:val="22"/>
          <w:szCs w:val="22"/>
        </w:rPr>
        <w:t>.</w:t>
      </w:r>
    </w:p>
    <w:p w:rsidR="00EB23B9" w:rsidRPr="00CB0B61" w:rsidRDefault="00BB366A" w:rsidP="00B06B8E">
      <w:pPr>
        <w:pStyle w:val="NormalWeb"/>
        <w:spacing w:before="0" w:beforeAutospacing="0" w:after="0" w:afterAutospacing="0" w:line="312" w:lineRule="auto"/>
        <w:jc w:val="center"/>
        <w:rPr>
          <w:b/>
          <w:color w:val="1B1C1D"/>
          <w:sz w:val="22"/>
          <w:szCs w:val="22"/>
        </w:rPr>
      </w:pPr>
      <w:r w:rsidRPr="00CB0B61">
        <w:rPr>
          <w:b/>
          <w:sz w:val="22"/>
          <w:szCs w:val="22"/>
        </w:rPr>
        <w:t xml:space="preserve">Table 10. Rate of </w:t>
      </w:r>
      <w:r w:rsidR="00665F36">
        <w:rPr>
          <w:b/>
          <w:sz w:val="22"/>
          <w:szCs w:val="22"/>
        </w:rPr>
        <w:t>c</w:t>
      </w:r>
      <w:r w:rsidRPr="00CB0B61">
        <w:rPr>
          <w:b/>
          <w:sz w:val="22"/>
          <w:szCs w:val="22"/>
        </w:rPr>
        <w:t xml:space="preserve">omplications </w:t>
      </w:r>
      <w:r w:rsidR="00665F36">
        <w:rPr>
          <w:b/>
          <w:sz w:val="22"/>
          <w:szCs w:val="22"/>
        </w:rPr>
        <w:t>d</w:t>
      </w:r>
      <w:r w:rsidRPr="00CB0B61">
        <w:rPr>
          <w:b/>
          <w:sz w:val="22"/>
          <w:szCs w:val="22"/>
        </w:rPr>
        <w:t xml:space="preserve">uring </w:t>
      </w:r>
      <w:r w:rsidR="00665F36">
        <w:rPr>
          <w:b/>
          <w:sz w:val="22"/>
          <w:szCs w:val="22"/>
        </w:rPr>
        <w:t>t</w:t>
      </w:r>
      <w:r w:rsidRPr="00CB0B61">
        <w:rPr>
          <w:b/>
          <w:sz w:val="22"/>
          <w:szCs w:val="22"/>
        </w:rPr>
        <w:t>reatment</w:t>
      </w:r>
    </w:p>
    <w:tbl>
      <w:tblPr>
        <w:tblStyle w:val="TableGrid1"/>
        <w:tblW w:w="6325" w:type="dxa"/>
        <w:jc w:val="center"/>
        <w:tblLook w:val="04A0" w:firstRow="1" w:lastRow="0" w:firstColumn="1" w:lastColumn="0" w:noHBand="0" w:noVBand="1"/>
      </w:tblPr>
      <w:tblGrid>
        <w:gridCol w:w="2795"/>
        <w:gridCol w:w="1351"/>
        <w:gridCol w:w="1393"/>
        <w:gridCol w:w="786"/>
      </w:tblGrid>
      <w:tr w:rsidR="00EB23B9" w:rsidRPr="00CB0B61" w:rsidTr="00BF7EFC">
        <w:trPr>
          <w:jc w:val="center"/>
        </w:trPr>
        <w:tc>
          <w:tcPr>
            <w:tcW w:w="2795" w:type="dxa"/>
            <w:vAlign w:val="center"/>
            <w:hideMark/>
          </w:tcPr>
          <w:p w:rsidR="00EB23B9" w:rsidRPr="00CB0B61" w:rsidRDefault="00BB366A" w:rsidP="00B06B8E">
            <w:pPr>
              <w:spacing w:line="312" w:lineRule="auto"/>
              <w:jc w:val="center"/>
              <w:rPr>
                <w:rFonts w:ascii="Times New Roman" w:hAnsi="Times New Roman" w:cs="Times New Roman"/>
                <w:b/>
                <w:color w:val="1B1C1D"/>
                <w:lang w:val="en-US"/>
              </w:rPr>
            </w:pPr>
            <w:r w:rsidRPr="00CB0B61">
              <w:rPr>
                <w:rFonts w:ascii="Times New Roman" w:hAnsi="Times New Roman" w:cs="Times New Roman"/>
                <w:b/>
              </w:rPr>
              <w:t>Complication</w:t>
            </w:r>
          </w:p>
        </w:tc>
        <w:tc>
          <w:tcPr>
            <w:tcW w:w="1351" w:type="dxa"/>
            <w:vAlign w:val="center"/>
            <w:hideMark/>
          </w:tcPr>
          <w:p w:rsidR="00BB366A" w:rsidRPr="00CB0B61" w:rsidRDefault="00BB366A" w:rsidP="00B06B8E">
            <w:pPr>
              <w:spacing w:line="312" w:lineRule="auto"/>
              <w:jc w:val="center"/>
              <w:rPr>
                <w:rFonts w:ascii="Times New Roman" w:hAnsi="Times New Roman" w:cs="Times New Roman"/>
                <w:b/>
              </w:rPr>
            </w:pPr>
            <w:r w:rsidRPr="00CB0B61">
              <w:rPr>
                <w:rFonts w:ascii="Times New Roman" w:hAnsi="Times New Roman" w:cs="Times New Roman"/>
                <w:b/>
              </w:rPr>
              <w:t xml:space="preserve">Control Group </w:t>
            </w:r>
          </w:p>
          <w:p w:rsidR="00EB23B9" w:rsidRPr="00CB0B61" w:rsidRDefault="00BB366A" w:rsidP="00B06B8E">
            <w:pPr>
              <w:spacing w:line="312" w:lineRule="auto"/>
              <w:jc w:val="center"/>
              <w:rPr>
                <w:rFonts w:ascii="Times New Roman" w:hAnsi="Times New Roman" w:cs="Times New Roman"/>
                <w:b/>
                <w:color w:val="1B1C1D"/>
              </w:rPr>
            </w:pPr>
            <w:r w:rsidRPr="00CB0B61">
              <w:rPr>
                <w:rFonts w:ascii="Times New Roman" w:hAnsi="Times New Roman" w:cs="Times New Roman"/>
                <w:b/>
              </w:rPr>
              <w:t>n (%)</w:t>
            </w:r>
          </w:p>
        </w:tc>
        <w:tc>
          <w:tcPr>
            <w:tcW w:w="1393" w:type="dxa"/>
            <w:vAlign w:val="center"/>
            <w:hideMark/>
          </w:tcPr>
          <w:p w:rsidR="00BB366A" w:rsidRPr="00CB0B61" w:rsidRDefault="00BB366A" w:rsidP="00B06B8E">
            <w:pPr>
              <w:spacing w:line="312" w:lineRule="auto"/>
              <w:jc w:val="center"/>
              <w:rPr>
                <w:rFonts w:ascii="Times New Roman" w:hAnsi="Times New Roman" w:cs="Times New Roman"/>
                <w:b/>
              </w:rPr>
            </w:pPr>
            <w:r w:rsidRPr="00CB0B61">
              <w:rPr>
                <w:rFonts w:ascii="Times New Roman" w:hAnsi="Times New Roman" w:cs="Times New Roman"/>
                <w:b/>
              </w:rPr>
              <w:t>Intervention Group</w:t>
            </w:r>
          </w:p>
          <w:p w:rsidR="00EB23B9" w:rsidRPr="00CB0B61" w:rsidRDefault="00EB23B9" w:rsidP="00B06B8E">
            <w:pPr>
              <w:spacing w:line="312" w:lineRule="auto"/>
              <w:jc w:val="center"/>
              <w:rPr>
                <w:rFonts w:ascii="Times New Roman" w:hAnsi="Times New Roman" w:cs="Times New Roman"/>
                <w:b/>
                <w:color w:val="1B1C1D"/>
              </w:rPr>
            </w:pPr>
            <w:r w:rsidRPr="00CB0B61">
              <w:rPr>
                <w:rFonts w:ascii="Times New Roman" w:hAnsi="Times New Roman" w:cs="Times New Roman"/>
                <w:b/>
                <w:color w:val="1B1C1D"/>
              </w:rPr>
              <w:t>n (%)</w:t>
            </w:r>
          </w:p>
        </w:tc>
        <w:tc>
          <w:tcPr>
            <w:tcW w:w="786" w:type="dxa"/>
            <w:vAlign w:val="center"/>
            <w:hideMark/>
          </w:tcPr>
          <w:p w:rsidR="00EB23B9" w:rsidRPr="00CB0B61" w:rsidRDefault="00EB23B9" w:rsidP="00B06B8E">
            <w:pPr>
              <w:spacing w:line="312" w:lineRule="auto"/>
              <w:jc w:val="center"/>
              <w:rPr>
                <w:rFonts w:ascii="Times New Roman" w:hAnsi="Times New Roman" w:cs="Times New Roman"/>
                <w:b/>
                <w:color w:val="1B1C1D"/>
              </w:rPr>
            </w:pPr>
            <w:r w:rsidRPr="00CB0B61">
              <w:rPr>
                <w:rFonts w:ascii="Times New Roman" w:hAnsi="Times New Roman" w:cs="Times New Roman"/>
                <w:b/>
                <w:color w:val="1B1C1D"/>
              </w:rPr>
              <w:t>p</w:t>
            </w:r>
          </w:p>
        </w:tc>
      </w:tr>
      <w:tr w:rsidR="00EB23B9" w:rsidRPr="00CB0B61" w:rsidTr="00BF7EFC">
        <w:trPr>
          <w:jc w:val="center"/>
        </w:trPr>
        <w:tc>
          <w:tcPr>
            <w:tcW w:w="2795" w:type="dxa"/>
            <w:vAlign w:val="center"/>
            <w:hideMark/>
          </w:tcPr>
          <w:p w:rsidR="00EB23B9" w:rsidRPr="00CB0B61" w:rsidRDefault="00BB366A" w:rsidP="00B06B8E">
            <w:pPr>
              <w:spacing w:line="312" w:lineRule="auto"/>
              <w:jc w:val="both"/>
              <w:rPr>
                <w:rFonts w:ascii="Times New Roman" w:hAnsi="Times New Roman" w:cs="Times New Roman"/>
                <w:color w:val="1B1C1D"/>
              </w:rPr>
            </w:pPr>
            <w:r w:rsidRPr="00CB0B61">
              <w:rPr>
                <w:rFonts w:ascii="Times New Roman" w:hAnsi="Times New Roman" w:cs="Times New Roman"/>
              </w:rPr>
              <w:t>Multiple Organ Dysfunction</w:t>
            </w:r>
          </w:p>
        </w:tc>
        <w:tc>
          <w:tcPr>
            <w:tcW w:w="1351" w:type="dxa"/>
            <w:vAlign w:val="center"/>
            <w:hideMark/>
          </w:tcPr>
          <w:p w:rsidR="00EB23B9" w:rsidRPr="00CB0B61" w:rsidRDefault="00EB23B9" w:rsidP="00B06B8E">
            <w:pPr>
              <w:spacing w:line="312" w:lineRule="auto"/>
              <w:jc w:val="center"/>
              <w:rPr>
                <w:rFonts w:ascii="Times New Roman" w:hAnsi="Times New Roman" w:cs="Times New Roman"/>
                <w:color w:val="1B1C1D"/>
              </w:rPr>
            </w:pPr>
            <w:r w:rsidRPr="00CB0B61">
              <w:rPr>
                <w:rFonts w:ascii="Times New Roman" w:hAnsi="Times New Roman" w:cs="Times New Roman"/>
                <w:color w:val="1B1C1D"/>
              </w:rPr>
              <w:t>27 (71,0)</w:t>
            </w:r>
          </w:p>
        </w:tc>
        <w:tc>
          <w:tcPr>
            <w:tcW w:w="1393" w:type="dxa"/>
            <w:vAlign w:val="center"/>
            <w:hideMark/>
          </w:tcPr>
          <w:p w:rsidR="00EB23B9" w:rsidRPr="00CB0B61" w:rsidRDefault="00EB23B9" w:rsidP="00B06B8E">
            <w:pPr>
              <w:spacing w:line="312" w:lineRule="auto"/>
              <w:jc w:val="center"/>
              <w:rPr>
                <w:rFonts w:ascii="Times New Roman" w:hAnsi="Times New Roman" w:cs="Times New Roman"/>
                <w:color w:val="1B1C1D"/>
              </w:rPr>
            </w:pPr>
            <w:r w:rsidRPr="00CB0B61">
              <w:rPr>
                <w:rFonts w:ascii="Times New Roman" w:hAnsi="Times New Roman" w:cs="Times New Roman"/>
                <w:color w:val="1B1C1D"/>
              </w:rPr>
              <w:t>25 (65,8)</w:t>
            </w:r>
          </w:p>
        </w:tc>
        <w:tc>
          <w:tcPr>
            <w:tcW w:w="786" w:type="dxa"/>
            <w:vAlign w:val="center"/>
            <w:hideMark/>
          </w:tcPr>
          <w:p w:rsidR="00EB23B9" w:rsidRPr="00CB0B61" w:rsidRDefault="00EB23B9" w:rsidP="00B06B8E">
            <w:pPr>
              <w:spacing w:line="312" w:lineRule="auto"/>
              <w:jc w:val="center"/>
              <w:rPr>
                <w:rFonts w:ascii="Times New Roman" w:hAnsi="Times New Roman" w:cs="Times New Roman"/>
                <w:color w:val="1B1C1D"/>
              </w:rPr>
            </w:pPr>
            <w:r w:rsidRPr="00CB0B61">
              <w:rPr>
                <w:rFonts w:ascii="Times New Roman" w:hAnsi="Times New Roman" w:cs="Times New Roman"/>
                <w:color w:val="1B1C1D"/>
              </w:rPr>
              <w:t>0,622</w:t>
            </w:r>
          </w:p>
        </w:tc>
      </w:tr>
      <w:tr w:rsidR="00EB23B9" w:rsidRPr="00CB0B61" w:rsidTr="00BF7EFC">
        <w:trPr>
          <w:jc w:val="center"/>
        </w:trPr>
        <w:tc>
          <w:tcPr>
            <w:tcW w:w="2795" w:type="dxa"/>
            <w:vAlign w:val="center"/>
            <w:hideMark/>
          </w:tcPr>
          <w:p w:rsidR="00EB23B9" w:rsidRPr="00CB0B61" w:rsidRDefault="00BB366A" w:rsidP="00B06B8E">
            <w:pPr>
              <w:spacing w:line="312" w:lineRule="auto"/>
              <w:jc w:val="both"/>
              <w:rPr>
                <w:rFonts w:ascii="Times New Roman" w:hAnsi="Times New Roman" w:cs="Times New Roman"/>
                <w:color w:val="1B1C1D"/>
              </w:rPr>
            </w:pPr>
            <w:r w:rsidRPr="00CB0B61">
              <w:rPr>
                <w:rFonts w:ascii="Times New Roman" w:hAnsi="Times New Roman" w:cs="Times New Roman"/>
              </w:rPr>
              <w:t>Septic Shock</w:t>
            </w:r>
          </w:p>
        </w:tc>
        <w:tc>
          <w:tcPr>
            <w:tcW w:w="1351" w:type="dxa"/>
            <w:vAlign w:val="center"/>
            <w:hideMark/>
          </w:tcPr>
          <w:p w:rsidR="00EB23B9" w:rsidRPr="00CB0B61" w:rsidRDefault="00EB23B9" w:rsidP="00B06B8E">
            <w:pPr>
              <w:spacing w:line="312" w:lineRule="auto"/>
              <w:jc w:val="center"/>
              <w:rPr>
                <w:rFonts w:ascii="Times New Roman" w:hAnsi="Times New Roman" w:cs="Times New Roman"/>
                <w:color w:val="1B1C1D"/>
              </w:rPr>
            </w:pPr>
            <w:r w:rsidRPr="00CB0B61">
              <w:rPr>
                <w:rFonts w:ascii="Times New Roman" w:hAnsi="Times New Roman" w:cs="Times New Roman"/>
                <w:color w:val="1B1C1D"/>
              </w:rPr>
              <w:t>25 (65,8)</w:t>
            </w:r>
          </w:p>
        </w:tc>
        <w:tc>
          <w:tcPr>
            <w:tcW w:w="1393" w:type="dxa"/>
            <w:vAlign w:val="center"/>
            <w:hideMark/>
          </w:tcPr>
          <w:p w:rsidR="00EB23B9" w:rsidRPr="00CB0B61" w:rsidRDefault="00EB23B9" w:rsidP="00B06B8E">
            <w:pPr>
              <w:spacing w:line="312" w:lineRule="auto"/>
              <w:jc w:val="center"/>
              <w:rPr>
                <w:rFonts w:ascii="Times New Roman" w:hAnsi="Times New Roman" w:cs="Times New Roman"/>
                <w:color w:val="1B1C1D"/>
              </w:rPr>
            </w:pPr>
            <w:r w:rsidRPr="00CB0B61">
              <w:rPr>
                <w:rFonts w:ascii="Times New Roman" w:hAnsi="Times New Roman" w:cs="Times New Roman"/>
                <w:color w:val="1B1C1D"/>
              </w:rPr>
              <w:t>23 (60,5)</w:t>
            </w:r>
          </w:p>
        </w:tc>
        <w:tc>
          <w:tcPr>
            <w:tcW w:w="786" w:type="dxa"/>
            <w:vAlign w:val="center"/>
            <w:hideMark/>
          </w:tcPr>
          <w:p w:rsidR="00EB23B9" w:rsidRPr="00CB0B61" w:rsidRDefault="00EB23B9" w:rsidP="00B06B8E">
            <w:pPr>
              <w:spacing w:line="312" w:lineRule="auto"/>
              <w:jc w:val="center"/>
              <w:rPr>
                <w:rFonts w:ascii="Times New Roman" w:hAnsi="Times New Roman" w:cs="Times New Roman"/>
                <w:color w:val="1B1C1D"/>
              </w:rPr>
            </w:pPr>
            <w:r w:rsidRPr="00CB0B61">
              <w:rPr>
                <w:rFonts w:ascii="Times New Roman" w:hAnsi="Times New Roman" w:cs="Times New Roman"/>
                <w:color w:val="1B1C1D"/>
              </w:rPr>
              <w:t>0,634</w:t>
            </w:r>
          </w:p>
        </w:tc>
      </w:tr>
      <w:tr w:rsidR="00EB23B9" w:rsidRPr="00CB0B61" w:rsidTr="00BF7EFC">
        <w:trPr>
          <w:jc w:val="center"/>
        </w:trPr>
        <w:tc>
          <w:tcPr>
            <w:tcW w:w="2795" w:type="dxa"/>
            <w:vAlign w:val="center"/>
            <w:hideMark/>
          </w:tcPr>
          <w:p w:rsidR="00EB23B9" w:rsidRPr="00CB0B61" w:rsidRDefault="00BB366A" w:rsidP="00B06B8E">
            <w:pPr>
              <w:spacing w:line="312" w:lineRule="auto"/>
              <w:jc w:val="both"/>
              <w:rPr>
                <w:rFonts w:ascii="Times New Roman" w:hAnsi="Times New Roman" w:cs="Times New Roman"/>
                <w:color w:val="1B1C1D"/>
              </w:rPr>
            </w:pPr>
            <w:r w:rsidRPr="00CB0B61">
              <w:rPr>
                <w:rFonts w:ascii="Times New Roman" w:hAnsi="Times New Roman" w:cs="Times New Roman"/>
              </w:rPr>
              <w:t>Pneumonia</w:t>
            </w:r>
          </w:p>
        </w:tc>
        <w:tc>
          <w:tcPr>
            <w:tcW w:w="1351" w:type="dxa"/>
            <w:vAlign w:val="center"/>
            <w:hideMark/>
          </w:tcPr>
          <w:p w:rsidR="00EB23B9" w:rsidRPr="00CB0B61" w:rsidRDefault="00EB23B9" w:rsidP="00B06B8E">
            <w:pPr>
              <w:spacing w:line="312" w:lineRule="auto"/>
              <w:jc w:val="center"/>
              <w:rPr>
                <w:rFonts w:ascii="Times New Roman" w:hAnsi="Times New Roman" w:cs="Times New Roman"/>
                <w:color w:val="1B1C1D"/>
              </w:rPr>
            </w:pPr>
            <w:r w:rsidRPr="00CB0B61">
              <w:rPr>
                <w:rFonts w:ascii="Times New Roman" w:hAnsi="Times New Roman" w:cs="Times New Roman"/>
                <w:color w:val="1B1C1D"/>
              </w:rPr>
              <w:t>26 (68,4)</w:t>
            </w:r>
          </w:p>
        </w:tc>
        <w:tc>
          <w:tcPr>
            <w:tcW w:w="1393" w:type="dxa"/>
            <w:vAlign w:val="center"/>
            <w:hideMark/>
          </w:tcPr>
          <w:p w:rsidR="00EB23B9" w:rsidRPr="00CB0B61" w:rsidRDefault="00EB23B9" w:rsidP="00B06B8E">
            <w:pPr>
              <w:spacing w:line="312" w:lineRule="auto"/>
              <w:jc w:val="center"/>
              <w:rPr>
                <w:rFonts w:ascii="Times New Roman" w:hAnsi="Times New Roman" w:cs="Times New Roman"/>
                <w:color w:val="1B1C1D"/>
              </w:rPr>
            </w:pPr>
            <w:r w:rsidRPr="00CB0B61">
              <w:rPr>
                <w:rFonts w:ascii="Times New Roman" w:hAnsi="Times New Roman" w:cs="Times New Roman"/>
                <w:color w:val="1B1C1D"/>
              </w:rPr>
              <w:t>19 (50,0)</w:t>
            </w:r>
          </w:p>
        </w:tc>
        <w:tc>
          <w:tcPr>
            <w:tcW w:w="786" w:type="dxa"/>
            <w:vAlign w:val="center"/>
            <w:hideMark/>
          </w:tcPr>
          <w:p w:rsidR="00EB23B9" w:rsidRPr="00CB0B61" w:rsidRDefault="00EB23B9" w:rsidP="00B06B8E">
            <w:pPr>
              <w:spacing w:line="312" w:lineRule="auto"/>
              <w:jc w:val="center"/>
              <w:rPr>
                <w:rFonts w:ascii="Times New Roman" w:hAnsi="Times New Roman" w:cs="Times New Roman"/>
                <w:color w:val="1B1C1D"/>
              </w:rPr>
            </w:pPr>
            <w:r w:rsidRPr="00CB0B61">
              <w:rPr>
                <w:rFonts w:ascii="Times New Roman" w:hAnsi="Times New Roman" w:cs="Times New Roman"/>
                <w:color w:val="1B1C1D"/>
              </w:rPr>
              <w:t>0,102</w:t>
            </w:r>
          </w:p>
        </w:tc>
      </w:tr>
      <w:tr w:rsidR="00EB23B9" w:rsidRPr="00CB0B61" w:rsidTr="00BF7EFC">
        <w:trPr>
          <w:jc w:val="center"/>
        </w:trPr>
        <w:tc>
          <w:tcPr>
            <w:tcW w:w="2795" w:type="dxa"/>
            <w:vAlign w:val="center"/>
            <w:hideMark/>
          </w:tcPr>
          <w:p w:rsidR="00EB23B9" w:rsidRPr="00CB0B61" w:rsidRDefault="00EB23B9" w:rsidP="00B06B8E">
            <w:pPr>
              <w:spacing w:line="312" w:lineRule="auto"/>
              <w:jc w:val="both"/>
              <w:rPr>
                <w:rFonts w:ascii="Times New Roman" w:hAnsi="Times New Roman" w:cs="Times New Roman"/>
                <w:color w:val="1B1C1D"/>
              </w:rPr>
            </w:pPr>
            <w:r w:rsidRPr="00CB0B61">
              <w:rPr>
                <w:rFonts w:ascii="Times New Roman" w:hAnsi="Times New Roman" w:cs="Times New Roman"/>
                <w:color w:val="1B1C1D"/>
              </w:rPr>
              <w:t>ARDS</w:t>
            </w:r>
          </w:p>
        </w:tc>
        <w:tc>
          <w:tcPr>
            <w:tcW w:w="1351" w:type="dxa"/>
            <w:vAlign w:val="center"/>
            <w:hideMark/>
          </w:tcPr>
          <w:p w:rsidR="00EB23B9" w:rsidRPr="00CB0B61" w:rsidRDefault="00EB23B9" w:rsidP="00B06B8E">
            <w:pPr>
              <w:spacing w:line="312" w:lineRule="auto"/>
              <w:jc w:val="center"/>
              <w:rPr>
                <w:rFonts w:ascii="Times New Roman" w:hAnsi="Times New Roman" w:cs="Times New Roman"/>
                <w:color w:val="1B1C1D"/>
              </w:rPr>
            </w:pPr>
            <w:r w:rsidRPr="00CB0B61">
              <w:rPr>
                <w:rFonts w:ascii="Times New Roman" w:hAnsi="Times New Roman" w:cs="Times New Roman"/>
                <w:color w:val="1B1C1D"/>
              </w:rPr>
              <w:t>13 (34,2)</w:t>
            </w:r>
          </w:p>
        </w:tc>
        <w:tc>
          <w:tcPr>
            <w:tcW w:w="1393" w:type="dxa"/>
            <w:vAlign w:val="center"/>
            <w:hideMark/>
          </w:tcPr>
          <w:p w:rsidR="00EB23B9" w:rsidRPr="00CB0B61" w:rsidRDefault="00EB23B9" w:rsidP="00B06B8E">
            <w:pPr>
              <w:spacing w:line="312" w:lineRule="auto"/>
              <w:jc w:val="center"/>
              <w:rPr>
                <w:rFonts w:ascii="Times New Roman" w:hAnsi="Times New Roman" w:cs="Times New Roman"/>
                <w:color w:val="1B1C1D"/>
              </w:rPr>
            </w:pPr>
            <w:r w:rsidRPr="00CB0B61">
              <w:rPr>
                <w:rFonts w:ascii="Times New Roman" w:hAnsi="Times New Roman" w:cs="Times New Roman"/>
                <w:color w:val="1B1C1D"/>
              </w:rPr>
              <w:t>11 (29,0)</w:t>
            </w:r>
          </w:p>
        </w:tc>
        <w:tc>
          <w:tcPr>
            <w:tcW w:w="786" w:type="dxa"/>
            <w:vAlign w:val="center"/>
            <w:hideMark/>
          </w:tcPr>
          <w:p w:rsidR="00EB23B9" w:rsidRPr="00CB0B61" w:rsidRDefault="00EB23B9" w:rsidP="00B06B8E">
            <w:pPr>
              <w:spacing w:line="312" w:lineRule="auto"/>
              <w:jc w:val="center"/>
              <w:rPr>
                <w:rFonts w:ascii="Times New Roman" w:hAnsi="Times New Roman" w:cs="Times New Roman"/>
                <w:color w:val="1B1C1D"/>
              </w:rPr>
            </w:pPr>
            <w:r w:rsidRPr="00CB0B61">
              <w:rPr>
                <w:rFonts w:ascii="Times New Roman" w:hAnsi="Times New Roman" w:cs="Times New Roman"/>
                <w:color w:val="1B1C1D"/>
              </w:rPr>
              <w:t>0,622</w:t>
            </w:r>
          </w:p>
        </w:tc>
      </w:tr>
    </w:tbl>
    <w:p w:rsidR="00EB23B9" w:rsidRPr="00CB0B61" w:rsidRDefault="00BB366A" w:rsidP="00B06B8E">
      <w:pPr>
        <w:pStyle w:val="NormalWeb"/>
        <w:spacing w:before="0" w:beforeAutospacing="0" w:after="0" w:afterAutospacing="0" w:line="312" w:lineRule="auto"/>
        <w:ind w:firstLine="454"/>
        <w:jc w:val="both"/>
        <w:rPr>
          <w:color w:val="575B5F"/>
          <w:sz w:val="22"/>
          <w:szCs w:val="22"/>
          <w:bdr w:val="none" w:sz="0" w:space="0" w:color="auto" w:frame="1"/>
          <w:vertAlign w:val="superscript"/>
        </w:rPr>
      </w:pPr>
      <w:r w:rsidRPr="00CB0B61">
        <w:rPr>
          <w:rStyle w:val="citation-189"/>
          <w:sz w:val="22"/>
          <w:szCs w:val="22"/>
        </w:rPr>
        <w:t>The rates of severe complications such as multiple organ dysfunction and septic shock were comparable between the two groups</w:t>
      </w:r>
      <w:r w:rsidRPr="00CB0B61">
        <w:rPr>
          <w:sz w:val="22"/>
          <w:szCs w:val="22"/>
        </w:rPr>
        <w:t xml:space="preserve">. </w:t>
      </w:r>
      <w:r w:rsidRPr="00CB0B61">
        <w:rPr>
          <w:rStyle w:val="citation-188"/>
          <w:sz w:val="22"/>
          <w:szCs w:val="22"/>
        </w:rPr>
        <w:t>However, there was a noteworthy trend of a lower incidence of pneumonia in the intervention group compared to the control group (50,0% vs 68,4%)</w:t>
      </w:r>
      <w:r w:rsidRPr="00CB0B61">
        <w:rPr>
          <w:sz w:val="22"/>
          <w:szCs w:val="22"/>
        </w:rPr>
        <w:t xml:space="preserve">. </w:t>
      </w:r>
      <w:r w:rsidRPr="00CB0B61">
        <w:rPr>
          <w:rStyle w:val="citation-187"/>
          <w:sz w:val="22"/>
          <w:szCs w:val="22"/>
        </w:rPr>
        <w:t>Although this difference did not reach statistical significance (p=0.102), it suggests that the intervention may contribute to reducing the risk of respiratory infections</w:t>
      </w:r>
      <w:r w:rsidR="00EB23B9" w:rsidRPr="00CB0B61">
        <w:rPr>
          <w:color w:val="1B1C1D"/>
          <w:sz w:val="22"/>
          <w:szCs w:val="22"/>
        </w:rPr>
        <w:t>.</w:t>
      </w:r>
    </w:p>
    <w:p w:rsidR="00EB23B9" w:rsidRPr="00CB0B61" w:rsidRDefault="00BB366A" w:rsidP="00B06B8E">
      <w:pPr>
        <w:pStyle w:val="NormalWeb"/>
        <w:spacing w:before="0" w:beforeAutospacing="0" w:after="0" w:afterAutospacing="0" w:line="312" w:lineRule="auto"/>
        <w:jc w:val="center"/>
        <w:rPr>
          <w:b/>
          <w:color w:val="1B1C1D"/>
          <w:sz w:val="22"/>
          <w:szCs w:val="22"/>
        </w:rPr>
      </w:pPr>
      <w:r w:rsidRPr="00CB0B61">
        <w:rPr>
          <w:b/>
          <w:sz w:val="22"/>
          <w:szCs w:val="22"/>
        </w:rPr>
        <w:lastRenderedPageBreak/>
        <w:t xml:space="preserve">Table 11. Mortality </w:t>
      </w:r>
      <w:r w:rsidR="00665F36">
        <w:rPr>
          <w:b/>
          <w:sz w:val="22"/>
          <w:szCs w:val="22"/>
        </w:rPr>
        <w:t>r</w:t>
      </w:r>
      <w:r w:rsidRPr="00CB0B61">
        <w:rPr>
          <w:b/>
          <w:sz w:val="22"/>
          <w:szCs w:val="22"/>
        </w:rPr>
        <w:t>ate</w:t>
      </w:r>
    </w:p>
    <w:tbl>
      <w:tblPr>
        <w:tblStyle w:val="TableGrid1"/>
        <w:tblW w:w="6309" w:type="dxa"/>
        <w:jc w:val="center"/>
        <w:tblLook w:val="04A0" w:firstRow="1" w:lastRow="0" w:firstColumn="1" w:lastColumn="0" w:noHBand="0" w:noVBand="1"/>
      </w:tblPr>
      <w:tblGrid>
        <w:gridCol w:w="1759"/>
        <w:gridCol w:w="1736"/>
        <w:gridCol w:w="2086"/>
        <w:gridCol w:w="728"/>
      </w:tblGrid>
      <w:tr w:rsidR="00BB366A" w:rsidRPr="00CB0B61" w:rsidTr="00BA2211">
        <w:trPr>
          <w:jc w:val="center"/>
        </w:trPr>
        <w:tc>
          <w:tcPr>
            <w:tcW w:w="1759" w:type="dxa"/>
            <w:vAlign w:val="center"/>
            <w:hideMark/>
          </w:tcPr>
          <w:p w:rsidR="00BB366A" w:rsidRPr="00CB0B61" w:rsidRDefault="00BB366A" w:rsidP="00BA2211">
            <w:pPr>
              <w:spacing w:line="276" w:lineRule="auto"/>
              <w:jc w:val="center"/>
              <w:rPr>
                <w:rFonts w:ascii="Times New Roman" w:hAnsi="Times New Roman" w:cs="Times New Roman"/>
                <w:b/>
                <w:color w:val="1B1C1D"/>
              </w:rPr>
            </w:pPr>
            <w:r w:rsidRPr="00CB0B61">
              <w:rPr>
                <w:rFonts w:ascii="Times New Roman" w:hAnsi="Times New Roman" w:cs="Times New Roman"/>
                <w:b/>
              </w:rPr>
              <w:t>Time Point</w:t>
            </w:r>
          </w:p>
        </w:tc>
        <w:tc>
          <w:tcPr>
            <w:tcW w:w="1736" w:type="dxa"/>
            <w:vAlign w:val="center"/>
            <w:hideMark/>
          </w:tcPr>
          <w:p w:rsidR="00BB366A" w:rsidRPr="00CB0B61" w:rsidRDefault="00BB366A" w:rsidP="00BA2211">
            <w:pPr>
              <w:spacing w:line="276" w:lineRule="auto"/>
              <w:jc w:val="center"/>
              <w:rPr>
                <w:rFonts w:ascii="Times New Roman" w:hAnsi="Times New Roman" w:cs="Times New Roman"/>
                <w:b/>
              </w:rPr>
            </w:pPr>
            <w:r w:rsidRPr="00CB0B61">
              <w:rPr>
                <w:rFonts w:ascii="Times New Roman" w:hAnsi="Times New Roman" w:cs="Times New Roman"/>
                <w:b/>
              </w:rPr>
              <w:t xml:space="preserve">Control Group </w:t>
            </w:r>
          </w:p>
          <w:p w:rsidR="00BB366A" w:rsidRPr="00CB0B61" w:rsidRDefault="00BB366A" w:rsidP="00BA2211">
            <w:pPr>
              <w:spacing w:line="276" w:lineRule="auto"/>
              <w:jc w:val="center"/>
              <w:rPr>
                <w:rFonts w:ascii="Times New Roman" w:hAnsi="Times New Roman" w:cs="Times New Roman"/>
                <w:b/>
                <w:color w:val="1B1C1D"/>
              </w:rPr>
            </w:pPr>
            <w:r w:rsidRPr="00CB0B61">
              <w:rPr>
                <w:rFonts w:ascii="Times New Roman" w:hAnsi="Times New Roman" w:cs="Times New Roman"/>
                <w:b/>
              </w:rPr>
              <w:t>n (%)</w:t>
            </w:r>
          </w:p>
        </w:tc>
        <w:tc>
          <w:tcPr>
            <w:tcW w:w="2086" w:type="dxa"/>
            <w:vAlign w:val="center"/>
            <w:hideMark/>
          </w:tcPr>
          <w:p w:rsidR="00BB366A" w:rsidRPr="00CB0B61" w:rsidRDefault="00BB366A" w:rsidP="00BA2211">
            <w:pPr>
              <w:spacing w:line="276" w:lineRule="auto"/>
              <w:jc w:val="center"/>
              <w:rPr>
                <w:rFonts w:ascii="Times New Roman" w:hAnsi="Times New Roman" w:cs="Times New Roman"/>
                <w:b/>
              </w:rPr>
            </w:pPr>
            <w:r w:rsidRPr="00CB0B61">
              <w:rPr>
                <w:rFonts w:ascii="Times New Roman" w:hAnsi="Times New Roman" w:cs="Times New Roman"/>
                <w:b/>
              </w:rPr>
              <w:t>Intervention Group</w:t>
            </w:r>
          </w:p>
          <w:p w:rsidR="00BB366A" w:rsidRPr="00CB0B61" w:rsidRDefault="00BB366A" w:rsidP="00BA2211">
            <w:pPr>
              <w:spacing w:line="276" w:lineRule="auto"/>
              <w:jc w:val="center"/>
              <w:rPr>
                <w:rFonts w:ascii="Times New Roman" w:hAnsi="Times New Roman" w:cs="Times New Roman"/>
                <w:b/>
                <w:color w:val="1B1C1D"/>
              </w:rPr>
            </w:pPr>
            <w:r w:rsidRPr="00CB0B61">
              <w:rPr>
                <w:rFonts w:ascii="Times New Roman" w:hAnsi="Times New Roman" w:cs="Times New Roman"/>
                <w:b/>
                <w:color w:val="1B1C1D"/>
              </w:rPr>
              <w:t>n (%)</w:t>
            </w:r>
          </w:p>
        </w:tc>
        <w:tc>
          <w:tcPr>
            <w:tcW w:w="728" w:type="dxa"/>
            <w:vAlign w:val="center"/>
            <w:hideMark/>
          </w:tcPr>
          <w:p w:rsidR="00BB366A" w:rsidRPr="00CB0B61" w:rsidRDefault="00BB366A" w:rsidP="00BA2211">
            <w:pPr>
              <w:spacing w:line="276" w:lineRule="auto"/>
              <w:jc w:val="center"/>
              <w:rPr>
                <w:rFonts w:ascii="Times New Roman" w:hAnsi="Times New Roman" w:cs="Times New Roman"/>
                <w:b/>
                <w:color w:val="1B1C1D"/>
              </w:rPr>
            </w:pPr>
            <w:r w:rsidRPr="00CB0B61">
              <w:rPr>
                <w:rFonts w:ascii="Times New Roman" w:hAnsi="Times New Roman" w:cs="Times New Roman"/>
                <w:b/>
                <w:color w:val="1B1C1D"/>
              </w:rPr>
              <w:t>p</w:t>
            </w:r>
          </w:p>
        </w:tc>
      </w:tr>
      <w:tr w:rsidR="00EB23B9" w:rsidRPr="00CB0B61" w:rsidTr="00BA2211">
        <w:trPr>
          <w:jc w:val="center"/>
        </w:trPr>
        <w:tc>
          <w:tcPr>
            <w:tcW w:w="1759" w:type="dxa"/>
            <w:vAlign w:val="center"/>
            <w:hideMark/>
          </w:tcPr>
          <w:p w:rsidR="00EB23B9" w:rsidRPr="00CB0B61" w:rsidRDefault="00BB366A" w:rsidP="00BA2211">
            <w:pPr>
              <w:spacing w:line="276" w:lineRule="auto"/>
              <w:jc w:val="both"/>
              <w:rPr>
                <w:rFonts w:ascii="Times New Roman" w:hAnsi="Times New Roman" w:cs="Times New Roman"/>
                <w:color w:val="1B1C1D"/>
              </w:rPr>
            </w:pPr>
            <w:r w:rsidRPr="00CB0B61">
              <w:rPr>
                <w:rFonts w:ascii="Times New Roman" w:hAnsi="Times New Roman" w:cs="Times New Roman"/>
              </w:rPr>
              <w:t>Within 14 days</w:t>
            </w:r>
          </w:p>
        </w:tc>
        <w:tc>
          <w:tcPr>
            <w:tcW w:w="1736" w:type="dxa"/>
            <w:vAlign w:val="center"/>
            <w:hideMark/>
          </w:tcPr>
          <w:p w:rsidR="00EB23B9" w:rsidRPr="00CB0B61" w:rsidRDefault="00EB23B9" w:rsidP="00BA2211">
            <w:pPr>
              <w:spacing w:line="276" w:lineRule="auto"/>
              <w:jc w:val="center"/>
              <w:rPr>
                <w:rFonts w:ascii="Times New Roman" w:hAnsi="Times New Roman" w:cs="Times New Roman"/>
                <w:color w:val="1B1C1D"/>
              </w:rPr>
            </w:pPr>
            <w:r w:rsidRPr="00CB0B61">
              <w:rPr>
                <w:rFonts w:ascii="Times New Roman" w:hAnsi="Times New Roman" w:cs="Times New Roman"/>
                <w:color w:val="1B1C1D"/>
              </w:rPr>
              <w:t>25 (65,8)</w:t>
            </w:r>
          </w:p>
        </w:tc>
        <w:tc>
          <w:tcPr>
            <w:tcW w:w="2086" w:type="dxa"/>
            <w:vAlign w:val="center"/>
            <w:hideMark/>
          </w:tcPr>
          <w:p w:rsidR="00EB23B9" w:rsidRPr="00CB0B61" w:rsidRDefault="00EB23B9" w:rsidP="00BA2211">
            <w:pPr>
              <w:spacing w:line="276" w:lineRule="auto"/>
              <w:jc w:val="center"/>
              <w:rPr>
                <w:rFonts w:ascii="Times New Roman" w:hAnsi="Times New Roman" w:cs="Times New Roman"/>
                <w:color w:val="1B1C1D"/>
              </w:rPr>
            </w:pPr>
            <w:r w:rsidRPr="00CB0B61">
              <w:rPr>
                <w:rFonts w:ascii="Times New Roman" w:hAnsi="Times New Roman" w:cs="Times New Roman"/>
                <w:color w:val="1B1C1D"/>
              </w:rPr>
              <w:t>16 (42,1)</w:t>
            </w:r>
          </w:p>
        </w:tc>
        <w:tc>
          <w:tcPr>
            <w:tcW w:w="728" w:type="dxa"/>
            <w:vAlign w:val="center"/>
            <w:hideMark/>
          </w:tcPr>
          <w:p w:rsidR="00EB23B9" w:rsidRPr="00CB0B61" w:rsidRDefault="00EB23B9" w:rsidP="00BA2211">
            <w:pPr>
              <w:spacing w:line="276" w:lineRule="auto"/>
              <w:jc w:val="center"/>
              <w:rPr>
                <w:rFonts w:ascii="Times New Roman" w:hAnsi="Times New Roman" w:cs="Times New Roman"/>
                <w:color w:val="1B1C1D"/>
              </w:rPr>
            </w:pPr>
            <w:r w:rsidRPr="00CB0B61">
              <w:rPr>
                <w:rFonts w:ascii="Times New Roman" w:hAnsi="Times New Roman" w:cs="Times New Roman"/>
                <w:color w:val="1B1C1D"/>
              </w:rPr>
              <w:t>0,038</w:t>
            </w:r>
          </w:p>
        </w:tc>
      </w:tr>
      <w:tr w:rsidR="00EB23B9" w:rsidRPr="00CB0B61" w:rsidTr="00BA2211">
        <w:trPr>
          <w:jc w:val="center"/>
        </w:trPr>
        <w:tc>
          <w:tcPr>
            <w:tcW w:w="1759" w:type="dxa"/>
            <w:vAlign w:val="center"/>
            <w:hideMark/>
          </w:tcPr>
          <w:p w:rsidR="00EB23B9" w:rsidRPr="00CB0B61" w:rsidRDefault="00BB366A" w:rsidP="00BA2211">
            <w:pPr>
              <w:spacing w:line="276" w:lineRule="auto"/>
              <w:jc w:val="both"/>
              <w:rPr>
                <w:rFonts w:ascii="Times New Roman" w:hAnsi="Times New Roman" w:cs="Times New Roman"/>
                <w:color w:val="1B1C1D"/>
              </w:rPr>
            </w:pPr>
            <w:r w:rsidRPr="00CB0B61">
              <w:rPr>
                <w:rFonts w:ascii="Times New Roman" w:hAnsi="Times New Roman" w:cs="Times New Roman"/>
              </w:rPr>
              <w:t xml:space="preserve">Within </w:t>
            </w:r>
            <w:r w:rsidRPr="00CB0B61">
              <w:rPr>
                <w:rFonts w:ascii="Times New Roman" w:hAnsi="Times New Roman" w:cs="Times New Roman"/>
                <w:lang w:val="en-US"/>
              </w:rPr>
              <w:t>28</w:t>
            </w:r>
            <w:r w:rsidRPr="00CB0B61">
              <w:rPr>
                <w:rFonts w:ascii="Times New Roman" w:hAnsi="Times New Roman" w:cs="Times New Roman"/>
              </w:rPr>
              <w:t xml:space="preserve"> days</w:t>
            </w:r>
          </w:p>
        </w:tc>
        <w:tc>
          <w:tcPr>
            <w:tcW w:w="1736" w:type="dxa"/>
            <w:vAlign w:val="center"/>
            <w:hideMark/>
          </w:tcPr>
          <w:p w:rsidR="00EB23B9" w:rsidRPr="00CB0B61" w:rsidRDefault="00EB23B9" w:rsidP="00BA2211">
            <w:pPr>
              <w:spacing w:line="276" w:lineRule="auto"/>
              <w:jc w:val="center"/>
              <w:rPr>
                <w:rFonts w:ascii="Times New Roman" w:hAnsi="Times New Roman" w:cs="Times New Roman"/>
                <w:color w:val="1B1C1D"/>
              </w:rPr>
            </w:pPr>
            <w:r w:rsidRPr="00CB0B61">
              <w:rPr>
                <w:rFonts w:ascii="Times New Roman" w:hAnsi="Times New Roman" w:cs="Times New Roman"/>
                <w:color w:val="1B1C1D"/>
              </w:rPr>
              <w:t>31 (81,6)</w:t>
            </w:r>
          </w:p>
        </w:tc>
        <w:tc>
          <w:tcPr>
            <w:tcW w:w="2086" w:type="dxa"/>
            <w:vAlign w:val="center"/>
            <w:hideMark/>
          </w:tcPr>
          <w:p w:rsidR="00EB23B9" w:rsidRPr="00CB0B61" w:rsidRDefault="00EB23B9" w:rsidP="00BA2211">
            <w:pPr>
              <w:spacing w:line="276" w:lineRule="auto"/>
              <w:jc w:val="center"/>
              <w:rPr>
                <w:rFonts w:ascii="Times New Roman" w:hAnsi="Times New Roman" w:cs="Times New Roman"/>
                <w:color w:val="1B1C1D"/>
              </w:rPr>
            </w:pPr>
            <w:r w:rsidRPr="00CB0B61">
              <w:rPr>
                <w:rFonts w:ascii="Times New Roman" w:hAnsi="Times New Roman" w:cs="Times New Roman"/>
                <w:color w:val="1B1C1D"/>
              </w:rPr>
              <w:t>22 (57,9)</w:t>
            </w:r>
          </w:p>
        </w:tc>
        <w:tc>
          <w:tcPr>
            <w:tcW w:w="728" w:type="dxa"/>
            <w:vAlign w:val="center"/>
            <w:hideMark/>
          </w:tcPr>
          <w:p w:rsidR="00EB23B9" w:rsidRPr="00CB0B61" w:rsidRDefault="00EB23B9" w:rsidP="00BA2211">
            <w:pPr>
              <w:spacing w:line="276" w:lineRule="auto"/>
              <w:jc w:val="center"/>
              <w:rPr>
                <w:rFonts w:ascii="Times New Roman" w:hAnsi="Times New Roman" w:cs="Times New Roman"/>
                <w:color w:val="1B1C1D"/>
              </w:rPr>
            </w:pPr>
            <w:r w:rsidRPr="00CB0B61">
              <w:rPr>
                <w:rFonts w:ascii="Times New Roman" w:hAnsi="Times New Roman" w:cs="Times New Roman"/>
                <w:color w:val="1B1C1D"/>
              </w:rPr>
              <w:t>0,025</w:t>
            </w:r>
          </w:p>
        </w:tc>
      </w:tr>
      <w:tr w:rsidR="00EB23B9" w:rsidRPr="00CB0B61" w:rsidTr="00BA2211">
        <w:trPr>
          <w:jc w:val="center"/>
        </w:trPr>
        <w:tc>
          <w:tcPr>
            <w:tcW w:w="1759" w:type="dxa"/>
            <w:vAlign w:val="center"/>
            <w:hideMark/>
          </w:tcPr>
          <w:p w:rsidR="00EB23B9" w:rsidRPr="00CB0B61" w:rsidRDefault="00BB366A" w:rsidP="00BA2211">
            <w:pPr>
              <w:spacing w:line="276" w:lineRule="auto"/>
              <w:jc w:val="both"/>
              <w:rPr>
                <w:rFonts w:ascii="Times New Roman" w:hAnsi="Times New Roman" w:cs="Times New Roman"/>
                <w:color w:val="1B1C1D"/>
              </w:rPr>
            </w:pPr>
            <w:r w:rsidRPr="00CB0B61">
              <w:rPr>
                <w:rFonts w:ascii="Times New Roman" w:hAnsi="Times New Roman" w:cs="Times New Roman"/>
              </w:rPr>
              <w:t>Overall mortality</w:t>
            </w:r>
          </w:p>
        </w:tc>
        <w:tc>
          <w:tcPr>
            <w:tcW w:w="1736" w:type="dxa"/>
            <w:vAlign w:val="center"/>
            <w:hideMark/>
          </w:tcPr>
          <w:p w:rsidR="00EB23B9" w:rsidRPr="00CB0B61" w:rsidRDefault="00EB23B9" w:rsidP="00BA2211">
            <w:pPr>
              <w:spacing w:line="276" w:lineRule="auto"/>
              <w:jc w:val="center"/>
              <w:rPr>
                <w:rFonts w:ascii="Times New Roman" w:hAnsi="Times New Roman" w:cs="Times New Roman"/>
                <w:color w:val="1B1C1D"/>
              </w:rPr>
            </w:pPr>
            <w:r w:rsidRPr="00CB0B61">
              <w:rPr>
                <w:rFonts w:ascii="Times New Roman" w:hAnsi="Times New Roman" w:cs="Times New Roman"/>
                <w:color w:val="1B1C1D"/>
              </w:rPr>
              <w:t>31 (81,6)</w:t>
            </w:r>
          </w:p>
        </w:tc>
        <w:tc>
          <w:tcPr>
            <w:tcW w:w="2086" w:type="dxa"/>
            <w:vAlign w:val="center"/>
            <w:hideMark/>
          </w:tcPr>
          <w:p w:rsidR="00EB23B9" w:rsidRPr="00CB0B61" w:rsidRDefault="00EB23B9" w:rsidP="00BA2211">
            <w:pPr>
              <w:spacing w:line="276" w:lineRule="auto"/>
              <w:jc w:val="center"/>
              <w:rPr>
                <w:rFonts w:ascii="Times New Roman" w:hAnsi="Times New Roman" w:cs="Times New Roman"/>
                <w:color w:val="1B1C1D"/>
              </w:rPr>
            </w:pPr>
            <w:r w:rsidRPr="00CB0B61">
              <w:rPr>
                <w:rFonts w:ascii="Times New Roman" w:hAnsi="Times New Roman" w:cs="Times New Roman"/>
                <w:color w:val="1B1C1D"/>
              </w:rPr>
              <w:t>25 (65,8)</w:t>
            </w:r>
          </w:p>
        </w:tc>
        <w:tc>
          <w:tcPr>
            <w:tcW w:w="728" w:type="dxa"/>
            <w:vAlign w:val="center"/>
            <w:hideMark/>
          </w:tcPr>
          <w:p w:rsidR="00EB23B9" w:rsidRPr="00CB0B61" w:rsidRDefault="00EB23B9" w:rsidP="00BA2211">
            <w:pPr>
              <w:spacing w:line="276" w:lineRule="auto"/>
              <w:jc w:val="center"/>
              <w:rPr>
                <w:rFonts w:ascii="Times New Roman" w:hAnsi="Times New Roman" w:cs="Times New Roman"/>
                <w:color w:val="1B1C1D"/>
              </w:rPr>
            </w:pPr>
            <w:r w:rsidRPr="00CB0B61">
              <w:rPr>
                <w:rFonts w:ascii="Times New Roman" w:hAnsi="Times New Roman" w:cs="Times New Roman"/>
                <w:color w:val="1B1C1D"/>
              </w:rPr>
              <w:t>0,118</w:t>
            </w:r>
          </w:p>
        </w:tc>
      </w:tr>
    </w:tbl>
    <w:p w:rsidR="00EB23B9" w:rsidRPr="00CB0B61" w:rsidRDefault="00BB366A" w:rsidP="00BA2211">
      <w:pPr>
        <w:pStyle w:val="NormalWeb"/>
        <w:spacing w:before="0" w:beforeAutospacing="0" w:after="0" w:afterAutospacing="0" w:line="288" w:lineRule="auto"/>
        <w:ind w:firstLine="454"/>
        <w:jc w:val="both"/>
        <w:rPr>
          <w:color w:val="1B1C1D"/>
          <w:sz w:val="22"/>
          <w:szCs w:val="22"/>
        </w:rPr>
      </w:pPr>
      <w:r w:rsidRPr="00CB0B61">
        <w:rPr>
          <w:rStyle w:val="citation-185"/>
          <w:sz w:val="22"/>
          <w:szCs w:val="22"/>
        </w:rPr>
        <w:t>Treatment outcomes showed that the intervention protocol led to a significant and statistically meaningful reduction in early mortality at 14 days (p=0.038) and 28 days (p=0.025)</w:t>
      </w:r>
      <w:r w:rsidRPr="00CB0B61">
        <w:rPr>
          <w:sz w:val="22"/>
          <w:szCs w:val="22"/>
        </w:rPr>
        <w:t xml:space="preserve">. </w:t>
      </w:r>
      <w:r w:rsidRPr="00CB0B61">
        <w:rPr>
          <w:rStyle w:val="citation-184"/>
          <w:sz w:val="22"/>
          <w:szCs w:val="22"/>
        </w:rPr>
        <w:t>This demonstrates the clear effectiveness of the intervention in helping patients overcome the most critical phase of the illness</w:t>
      </w:r>
      <w:r w:rsidRPr="00CB0B61">
        <w:rPr>
          <w:sz w:val="22"/>
          <w:szCs w:val="22"/>
        </w:rPr>
        <w:t>.</w:t>
      </w:r>
    </w:p>
    <w:p w:rsidR="00EB23B9" w:rsidRPr="00CB0B61" w:rsidRDefault="00BB366A" w:rsidP="00BA2211">
      <w:pPr>
        <w:pStyle w:val="NormalWeb"/>
        <w:spacing w:before="0" w:beforeAutospacing="0" w:after="0" w:afterAutospacing="0" w:line="288" w:lineRule="auto"/>
        <w:jc w:val="center"/>
        <w:rPr>
          <w:b/>
          <w:bCs/>
          <w:color w:val="1B1C1D"/>
          <w:sz w:val="22"/>
          <w:szCs w:val="22"/>
          <w:bdr w:val="none" w:sz="0" w:space="0" w:color="auto" w:frame="1"/>
        </w:rPr>
      </w:pPr>
      <w:r w:rsidRPr="00CB0B61">
        <w:rPr>
          <w:b/>
          <w:sz w:val="22"/>
          <w:szCs w:val="22"/>
        </w:rPr>
        <w:t xml:space="preserve">Table 12. Multivariate </w:t>
      </w:r>
      <w:r w:rsidR="00665F36">
        <w:rPr>
          <w:b/>
          <w:sz w:val="22"/>
          <w:szCs w:val="22"/>
        </w:rPr>
        <w:t>r</w:t>
      </w:r>
      <w:r w:rsidRPr="00CB0B61">
        <w:rPr>
          <w:b/>
          <w:sz w:val="22"/>
          <w:szCs w:val="22"/>
        </w:rPr>
        <w:t xml:space="preserve">egression </w:t>
      </w:r>
      <w:r w:rsidR="00665F36">
        <w:rPr>
          <w:b/>
          <w:sz w:val="22"/>
          <w:szCs w:val="22"/>
        </w:rPr>
        <w:t>a</w:t>
      </w:r>
      <w:r w:rsidRPr="00CB0B61">
        <w:rPr>
          <w:b/>
          <w:sz w:val="22"/>
          <w:szCs w:val="22"/>
        </w:rPr>
        <w:t xml:space="preserve">nalysis of </w:t>
      </w:r>
      <w:r w:rsidR="00665F36">
        <w:rPr>
          <w:b/>
          <w:sz w:val="22"/>
          <w:szCs w:val="22"/>
        </w:rPr>
        <w:t>f</w:t>
      </w:r>
      <w:r w:rsidRPr="00CB0B61">
        <w:rPr>
          <w:b/>
          <w:sz w:val="22"/>
          <w:szCs w:val="22"/>
        </w:rPr>
        <w:t xml:space="preserve">actors </w:t>
      </w:r>
      <w:r w:rsidR="00665F36">
        <w:rPr>
          <w:b/>
          <w:sz w:val="22"/>
          <w:szCs w:val="22"/>
        </w:rPr>
        <w:t>r</w:t>
      </w:r>
      <w:r w:rsidRPr="00CB0B61">
        <w:rPr>
          <w:b/>
          <w:sz w:val="22"/>
          <w:szCs w:val="22"/>
        </w:rPr>
        <w:t xml:space="preserve">elated to </w:t>
      </w:r>
      <w:r w:rsidR="00665F36">
        <w:rPr>
          <w:b/>
          <w:sz w:val="22"/>
          <w:szCs w:val="22"/>
        </w:rPr>
        <w:t>m</w:t>
      </w:r>
      <w:r w:rsidRPr="00CB0B61">
        <w:rPr>
          <w:b/>
          <w:sz w:val="22"/>
          <w:szCs w:val="22"/>
        </w:rPr>
        <w:t>ortality</w:t>
      </w:r>
    </w:p>
    <w:tbl>
      <w:tblPr>
        <w:tblW w:w="6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310"/>
        <w:gridCol w:w="1064"/>
        <w:gridCol w:w="1399"/>
        <w:gridCol w:w="910"/>
      </w:tblGrid>
      <w:tr w:rsidR="00BB366A" w:rsidRPr="00CB0B61" w:rsidTr="00984119">
        <w:trPr>
          <w:jc w:val="center"/>
        </w:trPr>
        <w:tc>
          <w:tcPr>
            <w:tcW w:w="3310" w:type="dxa"/>
            <w:vMerge w:val="restart"/>
            <w:tcBorders>
              <w:top w:val="single" w:sz="6" w:space="0" w:color="auto"/>
              <w:left w:val="single" w:sz="6" w:space="0" w:color="auto"/>
              <w:right w:val="single" w:sz="6" w:space="0" w:color="auto"/>
            </w:tcBorders>
            <w:vAlign w:val="center"/>
          </w:tcPr>
          <w:p w:rsidR="00BB366A" w:rsidRPr="00CB0B61" w:rsidRDefault="00BB366A" w:rsidP="00BA2211">
            <w:pPr>
              <w:spacing w:after="0" w:line="284" w:lineRule="auto"/>
              <w:jc w:val="center"/>
              <w:rPr>
                <w:rFonts w:ascii="Times New Roman" w:hAnsi="Times New Roman" w:cs="Times New Roman"/>
                <w:b/>
                <w:bCs/>
                <w:color w:val="000000" w:themeColor="text1"/>
              </w:rPr>
            </w:pPr>
            <w:r w:rsidRPr="00CB0B61">
              <w:rPr>
                <w:rFonts w:ascii="Times New Roman" w:hAnsi="Times New Roman" w:cs="Times New Roman"/>
                <w:b/>
                <w:bCs/>
                <w:color w:val="000000" w:themeColor="text1"/>
              </w:rPr>
              <w:t>Variable</w:t>
            </w:r>
          </w:p>
        </w:tc>
        <w:tc>
          <w:tcPr>
            <w:tcW w:w="3373" w:type="dxa"/>
            <w:gridSpan w:val="3"/>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jc w:val="center"/>
              <w:rPr>
                <w:rFonts w:ascii="Times New Roman" w:hAnsi="Times New Roman" w:cs="Times New Roman"/>
                <w:b/>
                <w:color w:val="000000" w:themeColor="text1"/>
              </w:rPr>
            </w:pPr>
            <w:r w:rsidRPr="00CB0B61">
              <w:rPr>
                <w:rFonts w:ascii="Times New Roman" w:hAnsi="Times New Roman" w:cs="Times New Roman"/>
                <w:b/>
                <w:color w:val="000000" w:themeColor="text1"/>
              </w:rPr>
              <w:t>Multivariate Regression Analysis</w:t>
            </w:r>
          </w:p>
        </w:tc>
      </w:tr>
      <w:tr w:rsidR="00BB366A" w:rsidRPr="00CB0B61" w:rsidTr="00984119">
        <w:trPr>
          <w:jc w:val="center"/>
        </w:trPr>
        <w:tc>
          <w:tcPr>
            <w:tcW w:w="3310" w:type="dxa"/>
            <w:vMerge/>
            <w:tcBorders>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rPr>
                <w:rFonts w:ascii="Times New Roman" w:hAnsi="Times New Roman" w:cs="Times New Roman"/>
                <w:b/>
                <w:bCs/>
                <w:color w:val="000000" w:themeColor="text1"/>
              </w:rPr>
            </w:pPr>
          </w:p>
        </w:tc>
        <w:tc>
          <w:tcPr>
            <w:tcW w:w="1064"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jc w:val="center"/>
              <w:rPr>
                <w:rFonts w:ascii="Times New Roman" w:hAnsi="Times New Roman" w:cs="Times New Roman"/>
                <w:b/>
                <w:color w:val="000000" w:themeColor="text1"/>
              </w:rPr>
            </w:pPr>
            <w:r w:rsidRPr="00CB0B61">
              <w:rPr>
                <w:rFonts w:ascii="Times New Roman" w:hAnsi="Times New Roman" w:cs="Times New Roman"/>
                <w:b/>
                <w:color w:val="000000" w:themeColor="text1"/>
              </w:rPr>
              <w:t>HR</w:t>
            </w:r>
          </w:p>
        </w:tc>
        <w:tc>
          <w:tcPr>
            <w:tcW w:w="1399"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jc w:val="center"/>
              <w:rPr>
                <w:rFonts w:ascii="Times New Roman" w:hAnsi="Times New Roman" w:cs="Times New Roman"/>
                <w:b/>
                <w:color w:val="000000" w:themeColor="text1"/>
              </w:rPr>
            </w:pPr>
            <w:r w:rsidRPr="00CB0B61">
              <w:rPr>
                <w:rFonts w:ascii="Times New Roman" w:hAnsi="Times New Roman" w:cs="Times New Roman"/>
                <w:b/>
                <w:color w:val="000000" w:themeColor="text1"/>
              </w:rPr>
              <w:t>95% CI</w:t>
            </w:r>
          </w:p>
        </w:tc>
        <w:tc>
          <w:tcPr>
            <w:tcW w:w="91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jc w:val="center"/>
              <w:rPr>
                <w:rFonts w:ascii="Times New Roman" w:hAnsi="Times New Roman" w:cs="Times New Roman"/>
                <w:b/>
                <w:color w:val="000000" w:themeColor="text1"/>
              </w:rPr>
            </w:pPr>
            <w:r w:rsidRPr="00CB0B61">
              <w:rPr>
                <w:rFonts w:ascii="Times New Roman" w:hAnsi="Times New Roman" w:cs="Times New Roman"/>
                <w:b/>
                <w:color w:val="000000" w:themeColor="text1"/>
              </w:rPr>
              <w:t>p</w:t>
            </w:r>
          </w:p>
        </w:tc>
      </w:tr>
      <w:tr w:rsidR="00BB366A" w:rsidRPr="00CB0B61" w:rsidTr="00984119">
        <w:trPr>
          <w:jc w:val="center"/>
        </w:trPr>
        <w:tc>
          <w:tcPr>
            <w:tcW w:w="331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rPr>
                <w:rFonts w:ascii="Times New Roman" w:hAnsi="Times New Roman" w:cs="Times New Roman"/>
                <w:bCs/>
                <w:color w:val="000000" w:themeColor="text1"/>
              </w:rPr>
            </w:pPr>
            <w:r w:rsidRPr="00CB0B61">
              <w:rPr>
                <w:rFonts w:ascii="Times New Roman" w:hAnsi="Times New Roman" w:cs="Times New Roman"/>
                <w:bCs/>
                <w:color w:val="000000" w:themeColor="text1"/>
              </w:rPr>
              <w:t>Intervention group</w:t>
            </w:r>
          </w:p>
        </w:tc>
        <w:tc>
          <w:tcPr>
            <w:tcW w:w="1064"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0,45</w:t>
            </w:r>
          </w:p>
        </w:tc>
        <w:tc>
          <w:tcPr>
            <w:tcW w:w="1399"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jc w:val="center"/>
              <w:rPr>
                <w:rFonts w:ascii="Times New Roman" w:hAnsi="Times New Roman" w:cs="Times New Roman"/>
                <w:b/>
                <w:bCs/>
                <w:color w:val="000000" w:themeColor="text1"/>
              </w:rPr>
            </w:pPr>
            <w:r w:rsidRPr="00CB0B61">
              <w:rPr>
                <w:rFonts w:ascii="Times New Roman" w:hAnsi="Times New Roman" w:cs="Times New Roman"/>
                <w:color w:val="000000" w:themeColor="text1"/>
              </w:rPr>
              <w:t>0,23 - 0,87</w:t>
            </w:r>
          </w:p>
        </w:tc>
        <w:tc>
          <w:tcPr>
            <w:tcW w:w="91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jc w:val="center"/>
              <w:rPr>
                <w:rFonts w:ascii="Times New Roman" w:hAnsi="Times New Roman" w:cs="Times New Roman"/>
                <w:b/>
                <w:bCs/>
                <w:color w:val="000000" w:themeColor="text1"/>
              </w:rPr>
            </w:pPr>
            <w:r w:rsidRPr="00CB0B61">
              <w:rPr>
                <w:rFonts w:ascii="Times New Roman" w:hAnsi="Times New Roman" w:cs="Times New Roman"/>
                <w:b/>
                <w:bCs/>
                <w:color w:val="000000" w:themeColor="text1"/>
              </w:rPr>
              <w:t>0,017</w:t>
            </w:r>
          </w:p>
        </w:tc>
      </w:tr>
      <w:tr w:rsidR="00BB366A" w:rsidRPr="00CB0B61" w:rsidTr="00984119">
        <w:trPr>
          <w:jc w:val="center"/>
        </w:trPr>
        <w:tc>
          <w:tcPr>
            <w:tcW w:w="331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rPr>
                <w:rFonts w:ascii="Times New Roman" w:hAnsi="Times New Roman" w:cs="Times New Roman"/>
                <w:bCs/>
                <w:color w:val="000000" w:themeColor="text1"/>
              </w:rPr>
            </w:pPr>
            <w:r w:rsidRPr="00CB0B61">
              <w:rPr>
                <w:rFonts w:ascii="Times New Roman" w:hAnsi="Times New Roman" w:cs="Times New Roman"/>
                <w:bCs/>
                <w:color w:val="000000" w:themeColor="text1"/>
              </w:rPr>
              <w:t>Age</w:t>
            </w:r>
          </w:p>
        </w:tc>
        <w:tc>
          <w:tcPr>
            <w:tcW w:w="1064"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jc w:val="center"/>
              <w:rPr>
                <w:rFonts w:ascii="Times New Roman" w:hAnsi="Times New Roman" w:cs="Times New Roman"/>
                <w:color w:val="000000" w:themeColor="text1"/>
                <w:lang w:val="vi-VN"/>
              </w:rPr>
            </w:pPr>
            <w:r w:rsidRPr="00CB0B61">
              <w:rPr>
                <w:rFonts w:ascii="Times New Roman" w:hAnsi="Times New Roman" w:cs="Times New Roman"/>
                <w:color w:val="000000" w:themeColor="text1"/>
              </w:rPr>
              <w:t>1,03</w:t>
            </w:r>
          </w:p>
        </w:tc>
        <w:tc>
          <w:tcPr>
            <w:tcW w:w="1399"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jc w:val="center"/>
              <w:rPr>
                <w:rFonts w:ascii="Times New Roman" w:hAnsi="Times New Roman" w:cs="Times New Roman"/>
                <w:b/>
                <w:bCs/>
                <w:color w:val="000000" w:themeColor="text1"/>
              </w:rPr>
            </w:pPr>
            <w:r w:rsidRPr="00CB0B61">
              <w:rPr>
                <w:rFonts w:ascii="Times New Roman" w:hAnsi="Times New Roman" w:cs="Times New Roman"/>
                <w:color w:val="000000" w:themeColor="text1"/>
              </w:rPr>
              <w:t>1,01 - 1,06</w:t>
            </w:r>
          </w:p>
        </w:tc>
        <w:tc>
          <w:tcPr>
            <w:tcW w:w="91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jc w:val="center"/>
              <w:rPr>
                <w:rFonts w:ascii="Times New Roman" w:hAnsi="Times New Roman" w:cs="Times New Roman"/>
                <w:b/>
                <w:bCs/>
                <w:color w:val="000000" w:themeColor="text1"/>
              </w:rPr>
            </w:pPr>
            <w:r w:rsidRPr="00CB0B61">
              <w:rPr>
                <w:rFonts w:ascii="Times New Roman" w:hAnsi="Times New Roman" w:cs="Times New Roman"/>
                <w:b/>
                <w:bCs/>
                <w:color w:val="000000" w:themeColor="text1"/>
              </w:rPr>
              <w:t>0,020</w:t>
            </w:r>
          </w:p>
        </w:tc>
      </w:tr>
      <w:tr w:rsidR="00BB366A" w:rsidRPr="00CB0B61" w:rsidTr="00984119">
        <w:trPr>
          <w:jc w:val="center"/>
        </w:trPr>
        <w:tc>
          <w:tcPr>
            <w:tcW w:w="331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rPr>
                <w:rFonts w:ascii="Times New Roman" w:hAnsi="Times New Roman" w:cs="Times New Roman"/>
                <w:bCs/>
                <w:color w:val="000000" w:themeColor="text1"/>
              </w:rPr>
            </w:pPr>
            <w:r w:rsidRPr="00CB0B61">
              <w:rPr>
                <w:rFonts w:ascii="Times New Roman" w:hAnsi="Times New Roman" w:cs="Times New Roman"/>
                <w:bCs/>
                <w:color w:val="000000" w:themeColor="text1"/>
              </w:rPr>
              <w:t>Gender</w:t>
            </w:r>
          </w:p>
        </w:tc>
        <w:tc>
          <w:tcPr>
            <w:tcW w:w="1064"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jc w:val="center"/>
              <w:rPr>
                <w:rFonts w:ascii="Times New Roman" w:hAnsi="Times New Roman" w:cs="Times New Roman"/>
                <w:color w:val="000000" w:themeColor="text1"/>
                <w:lang w:val="vi-VN"/>
              </w:rPr>
            </w:pPr>
            <w:r w:rsidRPr="00CB0B61">
              <w:rPr>
                <w:rFonts w:ascii="Times New Roman" w:hAnsi="Times New Roman" w:cs="Times New Roman"/>
                <w:color w:val="000000" w:themeColor="text1"/>
              </w:rPr>
              <w:t>1,27</w:t>
            </w:r>
          </w:p>
        </w:tc>
        <w:tc>
          <w:tcPr>
            <w:tcW w:w="1399"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jc w:val="center"/>
              <w:rPr>
                <w:rFonts w:ascii="Times New Roman" w:hAnsi="Times New Roman" w:cs="Times New Roman"/>
                <w:b/>
                <w:color w:val="000000" w:themeColor="text1"/>
                <w:lang w:val="vi-VN"/>
              </w:rPr>
            </w:pPr>
            <w:r w:rsidRPr="00CB0B61">
              <w:rPr>
                <w:rFonts w:ascii="Times New Roman" w:hAnsi="Times New Roman" w:cs="Times New Roman"/>
                <w:color w:val="000000" w:themeColor="text1"/>
              </w:rPr>
              <w:t>0,63 - 2,55</w:t>
            </w:r>
          </w:p>
        </w:tc>
        <w:tc>
          <w:tcPr>
            <w:tcW w:w="91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0,499</w:t>
            </w:r>
          </w:p>
        </w:tc>
      </w:tr>
      <w:tr w:rsidR="00BB366A" w:rsidRPr="00CB0B61" w:rsidTr="00984119">
        <w:trPr>
          <w:jc w:val="center"/>
        </w:trPr>
        <w:tc>
          <w:tcPr>
            <w:tcW w:w="331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rPr>
                <w:rFonts w:ascii="Times New Roman" w:hAnsi="Times New Roman" w:cs="Times New Roman"/>
                <w:bCs/>
                <w:color w:val="000000" w:themeColor="text1"/>
              </w:rPr>
            </w:pPr>
            <w:r w:rsidRPr="00CB0B61">
              <w:rPr>
                <w:rFonts w:ascii="Times New Roman" w:hAnsi="Times New Roman" w:cs="Times New Roman"/>
                <w:bCs/>
                <w:color w:val="000000" w:themeColor="text1"/>
              </w:rPr>
              <w:t>Admission SpCO level</w:t>
            </w:r>
          </w:p>
        </w:tc>
        <w:tc>
          <w:tcPr>
            <w:tcW w:w="1064"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jc w:val="center"/>
              <w:rPr>
                <w:rFonts w:ascii="Times New Roman" w:hAnsi="Times New Roman" w:cs="Times New Roman"/>
                <w:color w:val="000000" w:themeColor="text1"/>
                <w:lang w:val="vi-VN"/>
              </w:rPr>
            </w:pPr>
            <w:r w:rsidRPr="00CB0B61">
              <w:rPr>
                <w:rFonts w:ascii="Times New Roman" w:hAnsi="Times New Roman" w:cs="Times New Roman"/>
                <w:color w:val="000000" w:themeColor="text1"/>
              </w:rPr>
              <w:t>1,04</w:t>
            </w:r>
          </w:p>
        </w:tc>
        <w:tc>
          <w:tcPr>
            <w:tcW w:w="1399"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0,99 - 1,08</w:t>
            </w:r>
          </w:p>
        </w:tc>
        <w:tc>
          <w:tcPr>
            <w:tcW w:w="91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0,092</w:t>
            </w:r>
          </w:p>
        </w:tc>
      </w:tr>
      <w:tr w:rsidR="00BB366A" w:rsidRPr="00CB0B61" w:rsidTr="00984119">
        <w:trPr>
          <w:jc w:val="center"/>
        </w:trPr>
        <w:tc>
          <w:tcPr>
            <w:tcW w:w="331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rPr>
                <w:rFonts w:ascii="Times New Roman" w:hAnsi="Times New Roman" w:cs="Times New Roman"/>
                <w:bCs/>
                <w:color w:val="000000" w:themeColor="text1"/>
              </w:rPr>
            </w:pPr>
            <w:r w:rsidRPr="00CB0B61">
              <w:rPr>
                <w:rFonts w:ascii="Times New Roman" w:hAnsi="Times New Roman" w:cs="Times New Roman"/>
                <w:bCs/>
                <w:color w:val="000000" w:themeColor="text1"/>
              </w:rPr>
              <w:t>Anterior trunk burn</w:t>
            </w:r>
          </w:p>
        </w:tc>
        <w:tc>
          <w:tcPr>
            <w:tcW w:w="1064"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jc w:val="center"/>
              <w:rPr>
                <w:rFonts w:ascii="Times New Roman" w:hAnsi="Times New Roman" w:cs="Times New Roman"/>
                <w:color w:val="000000" w:themeColor="text1"/>
                <w:lang w:val="vi-VN"/>
              </w:rPr>
            </w:pPr>
            <w:r w:rsidRPr="00CB0B61">
              <w:rPr>
                <w:rFonts w:ascii="Times New Roman" w:hAnsi="Times New Roman" w:cs="Times New Roman"/>
                <w:color w:val="000000" w:themeColor="text1"/>
              </w:rPr>
              <w:t>1,94</w:t>
            </w:r>
          </w:p>
        </w:tc>
        <w:tc>
          <w:tcPr>
            <w:tcW w:w="1399"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jc w:val="center"/>
              <w:rPr>
                <w:rFonts w:ascii="Times New Roman" w:hAnsi="Times New Roman" w:cs="Times New Roman"/>
                <w:color w:val="000000" w:themeColor="text1"/>
                <w:lang w:val="vi-VN"/>
              </w:rPr>
            </w:pPr>
            <w:r w:rsidRPr="00CB0B61">
              <w:rPr>
                <w:rFonts w:ascii="Times New Roman" w:hAnsi="Times New Roman" w:cs="Times New Roman"/>
                <w:color w:val="000000" w:themeColor="text1"/>
              </w:rPr>
              <w:t>0,78 - 4,85</w:t>
            </w:r>
          </w:p>
        </w:tc>
        <w:tc>
          <w:tcPr>
            <w:tcW w:w="91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0,156</w:t>
            </w:r>
          </w:p>
        </w:tc>
      </w:tr>
      <w:tr w:rsidR="00BB366A" w:rsidRPr="00CB0B61" w:rsidTr="00984119">
        <w:trPr>
          <w:jc w:val="center"/>
        </w:trPr>
        <w:tc>
          <w:tcPr>
            <w:tcW w:w="331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rPr>
                <w:rFonts w:ascii="Times New Roman" w:hAnsi="Times New Roman" w:cs="Times New Roman"/>
                <w:bCs/>
                <w:color w:val="000000" w:themeColor="text1"/>
              </w:rPr>
            </w:pPr>
            <w:r w:rsidRPr="00CB0B61">
              <w:rPr>
                <w:rFonts w:ascii="Times New Roman" w:hAnsi="Times New Roman" w:cs="Times New Roman"/>
                <w:bCs/>
                <w:color w:val="000000" w:themeColor="text1"/>
              </w:rPr>
              <w:t>Back burn</w:t>
            </w:r>
          </w:p>
        </w:tc>
        <w:tc>
          <w:tcPr>
            <w:tcW w:w="1064"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jc w:val="center"/>
              <w:rPr>
                <w:rFonts w:ascii="Times New Roman" w:hAnsi="Times New Roman" w:cs="Times New Roman"/>
                <w:bCs/>
                <w:color w:val="000000" w:themeColor="text1"/>
                <w:lang w:val="vi-VN"/>
              </w:rPr>
            </w:pPr>
            <w:r w:rsidRPr="00CB0B61">
              <w:rPr>
                <w:rFonts w:ascii="Times New Roman" w:hAnsi="Times New Roman" w:cs="Times New Roman"/>
                <w:color w:val="000000" w:themeColor="text1"/>
              </w:rPr>
              <w:t>1,68</w:t>
            </w:r>
          </w:p>
        </w:tc>
        <w:tc>
          <w:tcPr>
            <w:tcW w:w="1399"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jc w:val="center"/>
              <w:rPr>
                <w:rFonts w:ascii="Times New Roman" w:hAnsi="Times New Roman" w:cs="Times New Roman"/>
                <w:bCs/>
                <w:color w:val="000000" w:themeColor="text1"/>
                <w:lang w:val="vi-VN"/>
              </w:rPr>
            </w:pPr>
            <w:r w:rsidRPr="00CB0B61">
              <w:rPr>
                <w:rFonts w:ascii="Times New Roman" w:hAnsi="Times New Roman" w:cs="Times New Roman"/>
                <w:color w:val="000000" w:themeColor="text1"/>
              </w:rPr>
              <w:t>0,58 - 4,9</w:t>
            </w:r>
          </w:p>
        </w:tc>
        <w:tc>
          <w:tcPr>
            <w:tcW w:w="91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0,343</w:t>
            </w:r>
          </w:p>
        </w:tc>
      </w:tr>
      <w:tr w:rsidR="00BB366A" w:rsidRPr="00CB0B61" w:rsidTr="00984119">
        <w:trPr>
          <w:jc w:val="center"/>
        </w:trPr>
        <w:tc>
          <w:tcPr>
            <w:tcW w:w="331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rPr>
                <w:rFonts w:ascii="Times New Roman" w:hAnsi="Times New Roman" w:cs="Times New Roman"/>
                <w:bCs/>
                <w:color w:val="000000" w:themeColor="text1"/>
              </w:rPr>
            </w:pPr>
            <w:r w:rsidRPr="00CB0B61">
              <w:rPr>
                <w:rFonts w:ascii="Times New Roman" w:hAnsi="Times New Roman" w:cs="Times New Roman"/>
                <w:bCs/>
                <w:color w:val="000000" w:themeColor="text1"/>
              </w:rPr>
              <w:t>Total burn surface area</w:t>
            </w:r>
          </w:p>
        </w:tc>
        <w:tc>
          <w:tcPr>
            <w:tcW w:w="1064"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jc w:val="center"/>
              <w:rPr>
                <w:rFonts w:ascii="Times New Roman" w:hAnsi="Times New Roman" w:cs="Times New Roman"/>
                <w:bCs/>
                <w:color w:val="000000" w:themeColor="text1"/>
                <w:lang w:val="vi-VN"/>
              </w:rPr>
            </w:pPr>
            <w:r w:rsidRPr="00CB0B61">
              <w:rPr>
                <w:rFonts w:ascii="Times New Roman" w:hAnsi="Times New Roman" w:cs="Times New Roman"/>
                <w:color w:val="000000" w:themeColor="text1"/>
              </w:rPr>
              <w:t>1,02</w:t>
            </w:r>
          </w:p>
        </w:tc>
        <w:tc>
          <w:tcPr>
            <w:tcW w:w="1399"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jc w:val="center"/>
              <w:rPr>
                <w:rFonts w:ascii="Times New Roman" w:hAnsi="Times New Roman" w:cs="Times New Roman"/>
                <w:bCs/>
                <w:color w:val="000000" w:themeColor="text1"/>
              </w:rPr>
            </w:pPr>
            <w:r w:rsidRPr="00CB0B61">
              <w:rPr>
                <w:rFonts w:ascii="Times New Roman" w:hAnsi="Times New Roman" w:cs="Times New Roman"/>
                <w:color w:val="000000" w:themeColor="text1"/>
              </w:rPr>
              <w:t>0,99 - 1,04</w:t>
            </w:r>
          </w:p>
        </w:tc>
        <w:tc>
          <w:tcPr>
            <w:tcW w:w="91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0,248</w:t>
            </w:r>
          </w:p>
        </w:tc>
      </w:tr>
      <w:tr w:rsidR="00BB366A" w:rsidRPr="00CB0B61" w:rsidTr="00984119">
        <w:trPr>
          <w:jc w:val="center"/>
        </w:trPr>
        <w:tc>
          <w:tcPr>
            <w:tcW w:w="331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rPr>
                <w:rFonts w:ascii="Times New Roman" w:hAnsi="Times New Roman" w:cs="Times New Roman"/>
                <w:bCs/>
                <w:color w:val="000000" w:themeColor="text1"/>
              </w:rPr>
            </w:pPr>
            <w:r w:rsidRPr="00CB0B61">
              <w:rPr>
                <w:rFonts w:ascii="Times New Roman" w:hAnsi="Times New Roman" w:cs="Times New Roman"/>
                <w:bCs/>
                <w:color w:val="000000" w:themeColor="text1"/>
              </w:rPr>
              <w:t>Deep burn surface area</w:t>
            </w:r>
          </w:p>
        </w:tc>
        <w:tc>
          <w:tcPr>
            <w:tcW w:w="1064"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jc w:val="center"/>
              <w:rPr>
                <w:rFonts w:ascii="Times New Roman" w:hAnsi="Times New Roman" w:cs="Times New Roman"/>
                <w:bCs/>
                <w:color w:val="000000" w:themeColor="text1"/>
              </w:rPr>
            </w:pPr>
            <w:r w:rsidRPr="00CB0B61">
              <w:rPr>
                <w:rFonts w:ascii="Times New Roman" w:hAnsi="Times New Roman" w:cs="Times New Roman"/>
                <w:color w:val="000000" w:themeColor="text1"/>
              </w:rPr>
              <w:t>1,02</w:t>
            </w:r>
          </w:p>
        </w:tc>
        <w:tc>
          <w:tcPr>
            <w:tcW w:w="1399"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jc w:val="center"/>
              <w:rPr>
                <w:rFonts w:ascii="Times New Roman" w:hAnsi="Times New Roman" w:cs="Times New Roman"/>
                <w:bCs/>
                <w:color w:val="000000" w:themeColor="text1"/>
              </w:rPr>
            </w:pPr>
            <w:r w:rsidRPr="00CB0B61">
              <w:rPr>
                <w:rFonts w:ascii="Times New Roman" w:hAnsi="Times New Roman" w:cs="Times New Roman"/>
                <w:color w:val="000000" w:themeColor="text1"/>
              </w:rPr>
              <w:t>0,99 - 1,04</w:t>
            </w:r>
          </w:p>
        </w:tc>
        <w:tc>
          <w:tcPr>
            <w:tcW w:w="91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0,137</w:t>
            </w:r>
          </w:p>
        </w:tc>
      </w:tr>
      <w:tr w:rsidR="00BB366A" w:rsidRPr="00CB0B61" w:rsidTr="00984119">
        <w:trPr>
          <w:jc w:val="center"/>
        </w:trPr>
        <w:tc>
          <w:tcPr>
            <w:tcW w:w="331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rPr>
                <w:rFonts w:ascii="Times New Roman" w:hAnsi="Times New Roman" w:cs="Times New Roman"/>
                <w:bCs/>
                <w:color w:val="000000" w:themeColor="text1"/>
              </w:rPr>
            </w:pPr>
            <w:r w:rsidRPr="00CB0B61">
              <w:rPr>
                <w:rFonts w:ascii="Times New Roman" w:hAnsi="Times New Roman" w:cs="Times New Roman"/>
                <w:bCs/>
                <w:color w:val="000000" w:themeColor="text1"/>
              </w:rPr>
              <w:t>Inhalation injury severity</w:t>
            </w:r>
          </w:p>
        </w:tc>
        <w:tc>
          <w:tcPr>
            <w:tcW w:w="1064"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1,62</w:t>
            </w:r>
          </w:p>
        </w:tc>
        <w:tc>
          <w:tcPr>
            <w:tcW w:w="1399"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jc w:val="center"/>
              <w:rPr>
                <w:rFonts w:ascii="Times New Roman" w:hAnsi="Times New Roman" w:cs="Times New Roman"/>
                <w:b/>
                <w:bCs/>
                <w:color w:val="000000" w:themeColor="text1"/>
              </w:rPr>
            </w:pPr>
            <w:r w:rsidRPr="00CB0B61">
              <w:rPr>
                <w:rFonts w:ascii="Times New Roman" w:hAnsi="Times New Roman" w:cs="Times New Roman"/>
                <w:color w:val="000000" w:themeColor="text1"/>
              </w:rPr>
              <w:t>1,01 - 2,6</w:t>
            </w:r>
          </w:p>
        </w:tc>
        <w:tc>
          <w:tcPr>
            <w:tcW w:w="91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jc w:val="center"/>
              <w:rPr>
                <w:rFonts w:ascii="Times New Roman" w:hAnsi="Times New Roman" w:cs="Times New Roman"/>
                <w:b/>
                <w:bCs/>
                <w:color w:val="000000" w:themeColor="text1"/>
              </w:rPr>
            </w:pPr>
            <w:r w:rsidRPr="00CB0B61">
              <w:rPr>
                <w:rFonts w:ascii="Times New Roman" w:hAnsi="Times New Roman" w:cs="Times New Roman"/>
                <w:b/>
                <w:bCs/>
                <w:color w:val="000000" w:themeColor="text1"/>
              </w:rPr>
              <w:t>0,045</w:t>
            </w:r>
          </w:p>
        </w:tc>
      </w:tr>
      <w:tr w:rsidR="00BB366A" w:rsidRPr="00CB0B61" w:rsidTr="00984119">
        <w:trPr>
          <w:jc w:val="center"/>
        </w:trPr>
        <w:tc>
          <w:tcPr>
            <w:tcW w:w="331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rPr>
                <w:rFonts w:ascii="Times New Roman" w:hAnsi="Times New Roman" w:cs="Times New Roman"/>
                <w:bCs/>
                <w:color w:val="000000" w:themeColor="text1"/>
              </w:rPr>
            </w:pPr>
            <w:r w:rsidRPr="00CB0B61">
              <w:rPr>
                <w:rFonts w:ascii="Times New Roman" w:hAnsi="Times New Roman" w:cs="Times New Roman"/>
                <w:bCs/>
                <w:color w:val="000000" w:themeColor="text1"/>
              </w:rPr>
              <w:t>Duration of mechanical ventilation</w:t>
            </w:r>
          </w:p>
        </w:tc>
        <w:tc>
          <w:tcPr>
            <w:tcW w:w="1064"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0,85</w:t>
            </w:r>
          </w:p>
        </w:tc>
        <w:tc>
          <w:tcPr>
            <w:tcW w:w="1399"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jc w:val="center"/>
              <w:rPr>
                <w:rFonts w:ascii="Times New Roman" w:hAnsi="Times New Roman" w:cs="Times New Roman"/>
                <w:b/>
                <w:bCs/>
                <w:color w:val="000000" w:themeColor="text1"/>
              </w:rPr>
            </w:pPr>
            <w:r w:rsidRPr="00CB0B61">
              <w:rPr>
                <w:rFonts w:ascii="Times New Roman" w:hAnsi="Times New Roman" w:cs="Times New Roman"/>
                <w:color w:val="000000" w:themeColor="text1"/>
              </w:rPr>
              <w:t>0,8 - 0,91</w:t>
            </w:r>
          </w:p>
        </w:tc>
        <w:tc>
          <w:tcPr>
            <w:tcW w:w="91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jc w:val="center"/>
              <w:rPr>
                <w:rFonts w:ascii="Times New Roman" w:hAnsi="Times New Roman" w:cs="Times New Roman"/>
                <w:b/>
                <w:bCs/>
                <w:color w:val="000000" w:themeColor="text1"/>
              </w:rPr>
            </w:pPr>
            <w:r w:rsidRPr="00CB0B61">
              <w:rPr>
                <w:rFonts w:ascii="Times New Roman" w:hAnsi="Times New Roman" w:cs="Times New Roman"/>
                <w:b/>
                <w:bCs/>
                <w:color w:val="000000" w:themeColor="text1"/>
              </w:rPr>
              <w:t>&lt;0,001</w:t>
            </w:r>
          </w:p>
        </w:tc>
      </w:tr>
      <w:tr w:rsidR="00BB366A" w:rsidRPr="00CB0B61" w:rsidTr="00984119">
        <w:trPr>
          <w:jc w:val="center"/>
        </w:trPr>
        <w:tc>
          <w:tcPr>
            <w:tcW w:w="331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rPr>
                <w:rFonts w:ascii="Times New Roman" w:hAnsi="Times New Roman" w:cs="Times New Roman"/>
                <w:bCs/>
                <w:color w:val="000000" w:themeColor="text1"/>
              </w:rPr>
            </w:pPr>
            <w:r w:rsidRPr="00CB0B61">
              <w:rPr>
                <w:rFonts w:ascii="Times New Roman" w:hAnsi="Times New Roman" w:cs="Times New Roman"/>
                <w:bCs/>
                <w:color w:val="000000" w:themeColor="text1"/>
              </w:rPr>
              <w:t>Day of tracheostomy</w:t>
            </w:r>
          </w:p>
        </w:tc>
        <w:tc>
          <w:tcPr>
            <w:tcW w:w="1064"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jc w:val="center"/>
              <w:rPr>
                <w:rFonts w:ascii="Times New Roman" w:hAnsi="Times New Roman" w:cs="Times New Roman"/>
                <w:color w:val="000000" w:themeColor="text1"/>
                <w:lang w:val="vi-VN"/>
              </w:rPr>
            </w:pPr>
            <w:r w:rsidRPr="00CB0B61">
              <w:rPr>
                <w:rFonts w:ascii="Times New Roman" w:hAnsi="Times New Roman" w:cs="Times New Roman"/>
                <w:color w:val="000000" w:themeColor="text1"/>
              </w:rPr>
              <w:t>1,06</w:t>
            </w:r>
          </w:p>
        </w:tc>
        <w:tc>
          <w:tcPr>
            <w:tcW w:w="1399"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jc w:val="center"/>
              <w:rPr>
                <w:rFonts w:ascii="Times New Roman" w:hAnsi="Times New Roman" w:cs="Times New Roman"/>
                <w:color w:val="000000" w:themeColor="text1"/>
                <w:lang w:val="vi-VN"/>
              </w:rPr>
            </w:pPr>
            <w:r w:rsidRPr="00CB0B61">
              <w:rPr>
                <w:rFonts w:ascii="Times New Roman" w:hAnsi="Times New Roman" w:cs="Times New Roman"/>
                <w:color w:val="000000" w:themeColor="text1"/>
              </w:rPr>
              <w:t>0,96 - 1,17</w:t>
            </w:r>
          </w:p>
        </w:tc>
        <w:tc>
          <w:tcPr>
            <w:tcW w:w="910" w:type="dxa"/>
            <w:tcBorders>
              <w:top w:val="single" w:sz="6" w:space="0" w:color="auto"/>
              <w:left w:val="single" w:sz="6" w:space="0" w:color="auto"/>
              <w:bottom w:val="single" w:sz="6" w:space="0" w:color="auto"/>
              <w:right w:val="single" w:sz="6" w:space="0" w:color="auto"/>
            </w:tcBorders>
            <w:vAlign w:val="center"/>
          </w:tcPr>
          <w:p w:rsidR="00BB366A" w:rsidRPr="00CB0B61" w:rsidRDefault="00BB366A" w:rsidP="00BA2211">
            <w:pPr>
              <w:spacing w:after="0" w:line="284" w:lineRule="auto"/>
              <w:jc w:val="center"/>
              <w:rPr>
                <w:rFonts w:ascii="Times New Roman" w:hAnsi="Times New Roman" w:cs="Times New Roman"/>
                <w:color w:val="000000" w:themeColor="text1"/>
              </w:rPr>
            </w:pPr>
            <w:r w:rsidRPr="00CB0B61">
              <w:rPr>
                <w:rFonts w:ascii="Times New Roman" w:hAnsi="Times New Roman" w:cs="Times New Roman"/>
                <w:color w:val="000000" w:themeColor="text1"/>
              </w:rPr>
              <w:t>0,262</w:t>
            </w:r>
          </w:p>
        </w:tc>
      </w:tr>
    </w:tbl>
    <w:p w:rsidR="00EB23B9" w:rsidRPr="00CB0B61" w:rsidRDefault="00BB366A" w:rsidP="00BA2211">
      <w:pPr>
        <w:pStyle w:val="NormalWeb"/>
        <w:spacing w:before="0" w:beforeAutospacing="0" w:after="0" w:afterAutospacing="0" w:line="288" w:lineRule="auto"/>
        <w:ind w:firstLine="454"/>
        <w:jc w:val="both"/>
        <w:rPr>
          <w:color w:val="1B1C1D"/>
          <w:sz w:val="22"/>
          <w:szCs w:val="22"/>
        </w:rPr>
      </w:pPr>
      <w:r w:rsidRPr="00CB0B61">
        <w:rPr>
          <w:rStyle w:val="citation-182"/>
          <w:sz w:val="22"/>
          <w:szCs w:val="22"/>
        </w:rPr>
        <w:t>The intervention protocol was identified as an independent protective factor, reducing the risk of mortality within 28 days post-burn</w:t>
      </w:r>
      <w:r w:rsidRPr="00CB0B61">
        <w:rPr>
          <w:sz w:val="22"/>
          <w:szCs w:val="22"/>
        </w:rPr>
        <w:t xml:space="preserve">. </w:t>
      </w:r>
      <w:r w:rsidRPr="00CB0B61">
        <w:rPr>
          <w:rStyle w:val="citation-181"/>
          <w:sz w:val="22"/>
          <w:szCs w:val="22"/>
        </w:rPr>
        <w:t>The analysis also identified other independent risk factors, such as burn size (affecting early mortality), age, and severity of inhalation injury (affecting later mortality)</w:t>
      </w:r>
      <w:r w:rsidR="00EB23B9" w:rsidRPr="00CB0B61">
        <w:rPr>
          <w:color w:val="1B1C1D"/>
          <w:sz w:val="22"/>
          <w:szCs w:val="22"/>
        </w:rPr>
        <w:t>.</w:t>
      </w:r>
    </w:p>
    <w:p w:rsidR="00BB366A" w:rsidRDefault="00BB366A" w:rsidP="00B06B8E">
      <w:pPr>
        <w:pStyle w:val="Heading3"/>
        <w:spacing w:before="0" w:beforeAutospacing="0" w:after="0" w:afterAutospacing="0" w:line="312" w:lineRule="auto"/>
        <w:jc w:val="center"/>
        <w:rPr>
          <w:sz w:val="22"/>
          <w:szCs w:val="22"/>
        </w:rPr>
      </w:pPr>
      <w:r w:rsidRPr="00CB0B61">
        <w:rPr>
          <w:sz w:val="22"/>
          <w:szCs w:val="22"/>
        </w:rPr>
        <w:lastRenderedPageBreak/>
        <w:t>Chapter 4. DISCUSSION</w:t>
      </w:r>
    </w:p>
    <w:p w:rsidR="00244B31" w:rsidRPr="00CB0B61" w:rsidRDefault="00244B31" w:rsidP="00B06B8E">
      <w:pPr>
        <w:pStyle w:val="Heading3"/>
        <w:spacing w:before="0" w:beforeAutospacing="0" w:after="0" w:afterAutospacing="0" w:line="312" w:lineRule="auto"/>
        <w:jc w:val="center"/>
        <w:rPr>
          <w:sz w:val="22"/>
          <w:szCs w:val="22"/>
        </w:rPr>
      </w:pPr>
    </w:p>
    <w:p w:rsidR="00BB366A" w:rsidRPr="00CB0B61" w:rsidRDefault="00BB366A" w:rsidP="00B06B8E">
      <w:pPr>
        <w:pStyle w:val="NormalWeb"/>
        <w:spacing w:before="0" w:beforeAutospacing="0" w:after="0" w:afterAutospacing="0" w:line="312" w:lineRule="auto"/>
        <w:jc w:val="both"/>
        <w:rPr>
          <w:sz w:val="22"/>
          <w:szCs w:val="22"/>
        </w:rPr>
      </w:pPr>
      <w:r w:rsidRPr="00CB0B61">
        <w:rPr>
          <w:b/>
          <w:bCs/>
          <w:sz w:val="22"/>
          <w:szCs w:val="22"/>
        </w:rPr>
        <w:t xml:space="preserve">4.1. Clinical and </w:t>
      </w:r>
      <w:r w:rsidR="00665F36">
        <w:rPr>
          <w:b/>
          <w:bCs/>
          <w:sz w:val="22"/>
          <w:szCs w:val="22"/>
        </w:rPr>
        <w:t>l</w:t>
      </w:r>
      <w:r w:rsidRPr="00CB0B61">
        <w:rPr>
          <w:b/>
          <w:bCs/>
          <w:sz w:val="22"/>
          <w:szCs w:val="22"/>
        </w:rPr>
        <w:t xml:space="preserve">aboratory </w:t>
      </w:r>
      <w:r w:rsidR="00665F36">
        <w:rPr>
          <w:b/>
          <w:bCs/>
          <w:sz w:val="22"/>
          <w:szCs w:val="22"/>
        </w:rPr>
        <w:t>c</w:t>
      </w:r>
      <w:r w:rsidRPr="00CB0B61">
        <w:rPr>
          <w:b/>
          <w:bCs/>
          <w:sz w:val="22"/>
          <w:szCs w:val="22"/>
        </w:rPr>
        <w:t xml:space="preserve">haracteristics of </w:t>
      </w:r>
      <w:r w:rsidR="00665F36">
        <w:rPr>
          <w:b/>
          <w:bCs/>
          <w:sz w:val="22"/>
          <w:szCs w:val="22"/>
        </w:rPr>
        <w:t>p</w:t>
      </w:r>
      <w:r w:rsidRPr="00CB0B61">
        <w:rPr>
          <w:b/>
          <w:bCs/>
          <w:sz w:val="22"/>
          <w:szCs w:val="22"/>
        </w:rPr>
        <w:t xml:space="preserve">atients with </w:t>
      </w:r>
      <w:r w:rsidR="00665F36">
        <w:rPr>
          <w:b/>
          <w:bCs/>
          <w:sz w:val="22"/>
          <w:szCs w:val="22"/>
        </w:rPr>
        <w:t>i</w:t>
      </w:r>
      <w:r w:rsidRPr="00CB0B61">
        <w:rPr>
          <w:b/>
          <w:bCs/>
          <w:sz w:val="22"/>
          <w:szCs w:val="22"/>
        </w:rPr>
        <w:t xml:space="preserve">nhalation </w:t>
      </w:r>
      <w:r w:rsidR="00665F36">
        <w:rPr>
          <w:b/>
          <w:bCs/>
          <w:sz w:val="22"/>
          <w:szCs w:val="22"/>
        </w:rPr>
        <w:t>i</w:t>
      </w:r>
      <w:r w:rsidRPr="00CB0B61">
        <w:rPr>
          <w:b/>
          <w:bCs/>
          <w:sz w:val="22"/>
          <w:szCs w:val="22"/>
        </w:rPr>
        <w:t>njury</w:t>
      </w:r>
      <w:r w:rsidRPr="00CB0B61">
        <w:rPr>
          <w:sz w:val="22"/>
          <w:szCs w:val="22"/>
        </w:rPr>
        <w:t xml:space="preserve"> </w:t>
      </w:r>
    </w:p>
    <w:p w:rsidR="00BB366A" w:rsidRPr="00CB0B61" w:rsidRDefault="00BB366A" w:rsidP="00B06B8E">
      <w:pPr>
        <w:pStyle w:val="NormalWeb"/>
        <w:spacing w:before="0" w:beforeAutospacing="0" w:after="0" w:afterAutospacing="0" w:line="312" w:lineRule="auto"/>
        <w:ind w:firstLine="454"/>
        <w:jc w:val="both"/>
        <w:rPr>
          <w:sz w:val="22"/>
          <w:szCs w:val="22"/>
        </w:rPr>
      </w:pPr>
      <w:r w:rsidRPr="00CB0B61">
        <w:rPr>
          <w:rStyle w:val="citation-180"/>
          <w:sz w:val="22"/>
          <w:szCs w:val="22"/>
        </w:rPr>
        <w:t>This study described the characteristics of 76 patients with severe inhalation injury upon admission</w:t>
      </w:r>
      <w:r w:rsidRPr="00CB0B61">
        <w:rPr>
          <w:sz w:val="22"/>
          <w:szCs w:val="22"/>
        </w:rPr>
        <w:t xml:space="preserve">. </w:t>
      </w:r>
      <w:r w:rsidRPr="00CB0B61">
        <w:rPr>
          <w:rStyle w:val="citation-179"/>
          <w:sz w:val="22"/>
          <w:szCs w:val="22"/>
        </w:rPr>
        <w:t>Demographic features such as a median age of 37 years, a majority of male patients (76.3%), and the primary cause of burns being domestic accidents were consistent with epidemiological reports on severe burns in Vietnam</w:t>
      </w:r>
      <w:r w:rsidRPr="00CB0B61">
        <w:rPr>
          <w:sz w:val="22"/>
          <w:szCs w:val="22"/>
        </w:rPr>
        <w:t xml:space="preserve">. </w:t>
      </w:r>
      <w:r w:rsidRPr="00CB0B61">
        <w:rPr>
          <w:rStyle w:val="citation-178"/>
          <w:sz w:val="22"/>
          <w:szCs w:val="22"/>
        </w:rPr>
        <w:t>The patients in this study were in critical condition, characterized by extensive burn areas (median 66%), 100% incidence of burn shock, and 32.9% with CO poisoning</w:t>
      </w:r>
      <w:r w:rsidRPr="00CB0B61">
        <w:rPr>
          <w:sz w:val="22"/>
          <w:szCs w:val="22"/>
        </w:rPr>
        <w:t xml:space="preserve">. </w:t>
      </w:r>
      <w:r w:rsidRPr="00CB0B61">
        <w:rPr>
          <w:rStyle w:val="citation-177"/>
          <w:sz w:val="22"/>
          <w:szCs w:val="22"/>
        </w:rPr>
        <w:t>A very strong positive correlation was found between the number of clinical symptoms (e.g., facial burns, hoarseness, carbonaceous sputum) and the bronchoscopically determined severity of inhalation injury (Spearman's Rho = 0.75; p &lt; 0.001)</w:t>
      </w:r>
      <w:r w:rsidRPr="00CB0B61">
        <w:rPr>
          <w:sz w:val="22"/>
          <w:szCs w:val="22"/>
        </w:rPr>
        <w:t xml:space="preserve">. </w:t>
      </w:r>
      <w:r w:rsidRPr="00CB0B61">
        <w:rPr>
          <w:rStyle w:val="citation-176"/>
          <w:sz w:val="22"/>
          <w:szCs w:val="22"/>
        </w:rPr>
        <w:t>This confirms the value of a thorough clinical examination in guiding and prognosticating the extent of airway injury, even before bronchoscopic results are available</w:t>
      </w:r>
      <w:r w:rsidRPr="00CB0B61">
        <w:rPr>
          <w:sz w:val="22"/>
          <w:szCs w:val="22"/>
        </w:rPr>
        <w:t>.</w:t>
      </w:r>
    </w:p>
    <w:p w:rsidR="00BB366A" w:rsidRPr="00CB0B61" w:rsidRDefault="00BB366A" w:rsidP="00B06B8E">
      <w:pPr>
        <w:pStyle w:val="NormalWeb"/>
        <w:spacing w:before="0" w:beforeAutospacing="0" w:after="0" w:afterAutospacing="0" w:line="312" w:lineRule="auto"/>
        <w:ind w:firstLine="454"/>
        <w:jc w:val="both"/>
        <w:rPr>
          <w:sz w:val="22"/>
          <w:szCs w:val="22"/>
        </w:rPr>
      </w:pPr>
      <w:r w:rsidRPr="00CB0B61">
        <w:rPr>
          <w:rStyle w:val="citation-175"/>
          <w:rFonts w:eastAsiaTheme="majorEastAsia"/>
          <w:sz w:val="22"/>
          <w:szCs w:val="22"/>
        </w:rPr>
        <w:t>Laboratory results clearly reflected a state of shock and an acute systemic inflammatory response upon admission</w:t>
      </w:r>
      <w:r w:rsidRPr="00CB0B61">
        <w:rPr>
          <w:sz w:val="22"/>
          <w:szCs w:val="22"/>
        </w:rPr>
        <w:t xml:space="preserve">. </w:t>
      </w:r>
      <w:r w:rsidRPr="00CB0B61">
        <w:rPr>
          <w:rStyle w:val="citation-174"/>
          <w:sz w:val="22"/>
          <w:szCs w:val="22"/>
        </w:rPr>
        <w:t>Patients presented with metabolic acidosis (median Lactate 3,9 mmol/l), hemoconcentration (median Hematocrit 53,9%), and elevated inflammatory markers (median Procalcitonin 8,22 ng/ml)</w:t>
      </w:r>
      <w:r w:rsidRPr="00CB0B61">
        <w:rPr>
          <w:sz w:val="22"/>
          <w:szCs w:val="22"/>
        </w:rPr>
        <w:t xml:space="preserve">. </w:t>
      </w:r>
      <w:r w:rsidRPr="00CB0B61">
        <w:rPr>
          <w:rStyle w:val="citation-173"/>
          <w:sz w:val="22"/>
          <w:szCs w:val="22"/>
        </w:rPr>
        <w:t>Lung function was already impaired early, with low pulmonary compliance (mean 29,2 ml/cmH₂O)</w:t>
      </w:r>
      <w:r w:rsidRPr="00CB0B61">
        <w:rPr>
          <w:sz w:val="22"/>
          <w:szCs w:val="22"/>
        </w:rPr>
        <w:t xml:space="preserve">. </w:t>
      </w:r>
      <w:r w:rsidRPr="00CB0B61">
        <w:rPr>
          <w:rStyle w:val="citation-172"/>
          <w:sz w:val="22"/>
          <w:szCs w:val="22"/>
        </w:rPr>
        <w:t>The study also showed that burn-specific prognostic scores like rBaux (AUC=0,84) and ABSI (AUC=0,82) had better predictive value for mortality than general ICU scores, providing useful tools for initial risk assessment</w:t>
      </w:r>
      <w:r w:rsidRPr="00CB0B61">
        <w:rPr>
          <w:sz w:val="22"/>
          <w:szCs w:val="22"/>
        </w:rPr>
        <w:t>.</w:t>
      </w:r>
    </w:p>
    <w:p w:rsidR="00BB366A" w:rsidRPr="00CB0B61" w:rsidRDefault="00BB366A" w:rsidP="00B06B8E">
      <w:pPr>
        <w:pStyle w:val="NormalWeb"/>
        <w:spacing w:before="0" w:beforeAutospacing="0" w:after="0" w:afterAutospacing="0" w:line="312" w:lineRule="auto"/>
        <w:jc w:val="both"/>
        <w:rPr>
          <w:sz w:val="22"/>
          <w:szCs w:val="22"/>
        </w:rPr>
      </w:pPr>
      <w:r w:rsidRPr="00CB0B61">
        <w:rPr>
          <w:b/>
          <w:bCs/>
          <w:sz w:val="22"/>
          <w:szCs w:val="22"/>
        </w:rPr>
        <w:lastRenderedPageBreak/>
        <w:t xml:space="preserve">4.2. Efficacy of the </w:t>
      </w:r>
      <w:r w:rsidR="00665F36">
        <w:rPr>
          <w:b/>
          <w:bCs/>
          <w:sz w:val="22"/>
          <w:szCs w:val="22"/>
        </w:rPr>
        <w:t>c</w:t>
      </w:r>
      <w:r w:rsidRPr="00CB0B61">
        <w:rPr>
          <w:b/>
          <w:bCs/>
          <w:sz w:val="22"/>
          <w:szCs w:val="22"/>
        </w:rPr>
        <w:t xml:space="preserve">ombined </w:t>
      </w:r>
      <w:r w:rsidR="00665F36">
        <w:rPr>
          <w:b/>
          <w:bCs/>
          <w:sz w:val="22"/>
          <w:szCs w:val="22"/>
        </w:rPr>
        <w:t>b</w:t>
      </w:r>
      <w:r w:rsidRPr="00CB0B61">
        <w:rPr>
          <w:b/>
          <w:bCs/>
          <w:sz w:val="22"/>
          <w:szCs w:val="22"/>
        </w:rPr>
        <w:t xml:space="preserve">ronchoscopy and </w:t>
      </w:r>
      <w:r w:rsidR="00665F36">
        <w:rPr>
          <w:b/>
          <w:bCs/>
          <w:sz w:val="22"/>
          <w:szCs w:val="22"/>
        </w:rPr>
        <w:t>n</w:t>
      </w:r>
      <w:r w:rsidRPr="00CB0B61">
        <w:rPr>
          <w:b/>
          <w:bCs/>
          <w:sz w:val="22"/>
          <w:szCs w:val="22"/>
        </w:rPr>
        <w:t xml:space="preserve">ebulized Heparin/N-Acetylcysteine </w:t>
      </w:r>
      <w:r w:rsidR="00665F36">
        <w:rPr>
          <w:b/>
          <w:bCs/>
          <w:sz w:val="22"/>
          <w:szCs w:val="22"/>
        </w:rPr>
        <w:t>p</w:t>
      </w:r>
      <w:bookmarkStart w:id="0" w:name="_GoBack"/>
      <w:bookmarkEnd w:id="0"/>
      <w:r w:rsidRPr="00CB0B61">
        <w:rPr>
          <w:b/>
          <w:bCs/>
          <w:sz w:val="22"/>
          <w:szCs w:val="22"/>
        </w:rPr>
        <w:t>rotocol</w:t>
      </w:r>
      <w:r w:rsidRPr="00CB0B61">
        <w:rPr>
          <w:sz w:val="22"/>
          <w:szCs w:val="22"/>
        </w:rPr>
        <w:t xml:space="preserve"> </w:t>
      </w:r>
    </w:p>
    <w:p w:rsidR="00BB366A" w:rsidRPr="00CB0B61" w:rsidRDefault="00BB366A" w:rsidP="00665F36">
      <w:pPr>
        <w:pStyle w:val="NormalWeb"/>
        <w:spacing w:before="0" w:beforeAutospacing="0" w:after="0" w:afterAutospacing="0" w:line="360" w:lineRule="auto"/>
        <w:ind w:firstLine="454"/>
        <w:jc w:val="both"/>
        <w:rPr>
          <w:sz w:val="22"/>
          <w:szCs w:val="22"/>
        </w:rPr>
      </w:pPr>
      <w:r w:rsidRPr="00CB0B61">
        <w:rPr>
          <w:rStyle w:val="citation-171"/>
          <w:sz w:val="22"/>
          <w:szCs w:val="22"/>
        </w:rPr>
        <w:t>This study provides strong evidence for the efficacy and safety of the combined protocol in treating patients with severe inhalation injury</w:t>
      </w:r>
      <w:r w:rsidRPr="00CB0B61">
        <w:rPr>
          <w:sz w:val="22"/>
          <w:szCs w:val="22"/>
        </w:rPr>
        <w:t xml:space="preserve">. </w:t>
      </w:r>
      <w:r w:rsidRPr="00CB0B61">
        <w:rPr>
          <w:rStyle w:val="citation-170"/>
          <w:sz w:val="22"/>
          <w:szCs w:val="22"/>
        </w:rPr>
        <w:t>The basis for this evaluation is the complete similarity in baseline characteristics between the two study groups upon admission</w:t>
      </w:r>
      <w:r w:rsidRPr="00CB0B61">
        <w:rPr>
          <w:sz w:val="22"/>
          <w:szCs w:val="22"/>
        </w:rPr>
        <w:t>.</w:t>
      </w:r>
    </w:p>
    <w:p w:rsidR="00BB366A" w:rsidRPr="0069474F" w:rsidRDefault="00BB366A" w:rsidP="00665F36">
      <w:pPr>
        <w:pStyle w:val="NormalWeb"/>
        <w:spacing w:before="0" w:beforeAutospacing="0" w:after="0" w:afterAutospacing="0" w:line="360" w:lineRule="auto"/>
        <w:ind w:firstLine="461"/>
        <w:jc w:val="both"/>
        <w:rPr>
          <w:spacing w:val="-2"/>
          <w:sz w:val="22"/>
          <w:szCs w:val="22"/>
        </w:rPr>
      </w:pPr>
      <w:r w:rsidRPr="0069474F">
        <w:rPr>
          <w:spacing w:val="-2"/>
          <w:sz w:val="22"/>
          <w:szCs w:val="22"/>
        </w:rPr>
        <w:t xml:space="preserve">The intervention protocol demonstrated high safety. </w:t>
      </w:r>
      <w:r w:rsidRPr="0069474F">
        <w:rPr>
          <w:rStyle w:val="citation-169"/>
          <w:spacing w:val="-2"/>
          <w:sz w:val="22"/>
          <w:szCs w:val="22"/>
        </w:rPr>
        <w:t>The rate of complications related to the bronchoscopy procedure was very low (6,6%) and all were successfully managed</w:t>
      </w:r>
      <w:r w:rsidRPr="0069474F">
        <w:rPr>
          <w:spacing w:val="-2"/>
          <w:sz w:val="22"/>
          <w:szCs w:val="22"/>
        </w:rPr>
        <w:t xml:space="preserve">. </w:t>
      </w:r>
      <w:r w:rsidRPr="0069474F">
        <w:rPr>
          <w:rStyle w:val="citation-168"/>
          <w:rFonts w:eastAsiaTheme="minorEastAsia"/>
          <w:spacing w:val="-2"/>
          <w:sz w:val="22"/>
          <w:szCs w:val="22"/>
        </w:rPr>
        <w:t>More importantly, the use of nebulized Heparin at a dose of 5000 IU every 4 hours did not affect systemic coagulation parameters, reinforcing evidence from previous studies</w:t>
      </w:r>
      <w:r w:rsidRPr="0069474F">
        <w:rPr>
          <w:spacing w:val="-2"/>
          <w:sz w:val="22"/>
          <w:szCs w:val="22"/>
        </w:rPr>
        <w:t xml:space="preserve">. </w:t>
      </w:r>
      <w:r w:rsidRPr="0069474F">
        <w:rPr>
          <w:rStyle w:val="citation-167"/>
          <w:spacing w:val="-2"/>
          <w:sz w:val="22"/>
          <w:szCs w:val="22"/>
        </w:rPr>
        <w:t>In terms of local efficacy, routine bronchoscopy effectively cleared the airways, reduced the rate of secretion retention, and notably, no patient in the intervention group required emergency bronchoscopy for obstruction, in contrast to four cases in the control group</w:t>
      </w:r>
      <w:r w:rsidRPr="0069474F">
        <w:rPr>
          <w:spacing w:val="-2"/>
          <w:sz w:val="22"/>
          <w:szCs w:val="22"/>
        </w:rPr>
        <w:t>.</w:t>
      </w:r>
    </w:p>
    <w:p w:rsidR="00665F36" w:rsidRPr="00665F36" w:rsidRDefault="00BB366A" w:rsidP="00665F36">
      <w:pPr>
        <w:pStyle w:val="NormalWeb"/>
        <w:spacing w:before="0" w:beforeAutospacing="0" w:after="0" w:afterAutospacing="0" w:line="360" w:lineRule="auto"/>
        <w:ind w:firstLine="461"/>
        <w:jc w:val="both"/>
        <w:rPr>
          <w:i/>
          <w:spacing w:val="-4"/>
          <w:sz w:val="22"/>
          <w:szCs w:val="22"/>
        </w:rPr>
      </w:pPr>
      <w:r w:rsidRPr="00665F36">
        <w:rPr>
          <w:rStyle w:val="citation-166"/>
          <w:sz w:val="22"/>
          <w:szCs w:val="22"/>
        </w:rPr>
        <w:t xml:space="preserve">The protocol's </w:t>
      </w:r>
      <w:r w:rsidR="00665F36" w:rsidRPr="00665F36">
        <w:rPr>
          <w:sz w:val="22"/>
          <w:szCs w:val="22"/>
        </w:rPr>
        <w:t>of the regimen was most evident through the improvement in respiratory function parameters. The intervention group showed a significant improvement in oxygenation (PaO₂/FiO₂ ratio) and lung compliance, along with a reduction in airway pressure indices (Ppeak, Pplateau). Lung compliance in the intervention group improved significantly, reaching a median of 50 ml/cmH₂O on day 7, compared to 33 ml/cmH₂O in the control group (p&lt;0.05). This improvement in lung compliance suggests that the combination therapy not only resolves obstructions but also positively impacts inflammation and edema of the lung parenchyma.</w:t>
      </w:r>
    </w:p>
    <w:p w:rsidR="00665F36" w:rsidRDefault="00665F36" w:rsidP="00665F36">
      <w:pPr>
        <w:pStyle w:val="NormalWeb"/>
        <w:spacing w:before="0" w:beforeAutospacing="0" w:after="0" w:afterAutospacing="0" w:line="360" w:lineRule="auto"/>
        <w:ind w:firstLine="454"/>
        <w:jc w:val="both"/>
        <w:rPr>
          <w:sz w:val="22"/>
          <w:szCs w:val="22"/>
        </w:rPr>
      </w:pPr>
      <w:r w:rsidRPr="00665F36">
        <w:rPr>
          <w:sz w:val="22"/>
          <w:szCs w:val="22"/>
        </w:rPr>
        <w:lastRenderedPageBreak/>
        <w:t>The Lung Injury Score (LIS) in the intervention group was statistically significantly lower than in the control group on day 7 (median 1</w:t>
      </w:r>
      <w:r>
        <w:rPr>
          <w:sz w:val="22"/>
          <w:szCs w:val="22"/>
        </w:rPr>
        <w:t>,</w:t>
      </w:r>
      <w:r w:rsidRPr="00665F36">
        <w:rPr>
          <w:sz w:val="22"/>
          <w:szCs w:val="22"/>
        </w:rPr>
        <w:t>0 vs. 1</w:t>
      </w:r>
      <w:r>
        <w:rPr>
          <w:sz w:val="22"/>
          <w:szCs w:val="22"/>
        </w:rPr>
        <w:t>,</w:t>
      </w:r>
      <w:r w:rsidRPr="00665F36">
        <w:rPr>
          <w:sz w:val="22"/>
          <w:szCs w:val="22"/>
        </w:rPr>
        <w:t>375; p&lt;0</w:t>
      </w:r>
      <w:r>
        <w:rPr>
          <w:sz w:val="22"/>
          <w:szCs w:val="22"/>
        </w:rPr>
        <w:t>,</w:t>
      </w:r>
      <w:r w:rsidRPr="00665F36">
        <w:rPr>
          <w:sz w:val="22"/>
          <w:szCs w:val="22"/>
        </w:rPr>
        <w:t>05), indicating that the regimen prevented</w:t>
      </w:r>
      <w:r w:rsidRPr="00665F36">
        <w:rPr>
          <w:sz w:val="22"/>
          <w:szCs w:val="22"/>
        </w:rPr>
        <w:t xml:space="preserve"> the progression of lung injury</w:t>
      </w:r>
      <w:r w:rsidR="00BB366A" w:rsidRPr="00665F36">
        <w:rPr>
          <w:sz w:val="22"/>
          <w:szCs w:val="22"/>
        </w:rPr>
        <w:t>.</w:t>
      </w:r>
    </w:p>
    <w:p w:rsidR="00BB366A" w:rsidRPr="00CB0B61" w:rsidRDefault="00BB366A" w:rsidP="00665F36">
      <w:pPr>
        <w:pStyle w:val="NormalWeb"/>
        <w:spacing w:before="0" w:beforeAutospacing="0" w:after="0" w:afterAutospacing="0" w:line="312" w:lineRule="auto"/>
        <w:ind w:firstLine="454"/>
        <w:jc w:val="both"/>
        <w:rPr>
          <w:sz w:val="22"/>
          <w:szCs w:val="22"/>
        </w:rPr>
      </w:pPr>
      <w:r w:rsidRPr="00CB0B61">
        <w:rPr>
          <w:rStyle w:val="citation-163"/>
          <w:sz w:val="22"/>
          <w:szCs w:val="22"/>
        </w:rPr>
        <w:t>A key finding was the trend toward a lower rate of ventilator-associated pneumonia (VAP) in the intervention group (50,0% vs. 68,4%)</w:t>
      </w:r>
      <w:r w:rsidRPr="00CB0B61">
        <w:rPr>
          <w:sz w:val="22"/>
          <w:szCs w:val="22"/>
        </w:rPr>
        <w:t xml:space="preserve">. </w:t>
      </w:r>
      <w:r w:rsidRPr="00CB0B61">
        <w:rPr>
          <w:rStyle w:val="citation-162"/>
          <w:sz w:val="22"/>
          <w:szCs w:val="22"/>
        </w:rPr>
        <w:t>Although not statistically significant, this result has great clinical importance</w:t>
      </w:r>
      <w:r w:rsidRPr="00CB0B61">
        <w:rPr>
          <w:sz w:val="22"/>
          <w:szCs w:val="22"/>
        </w:rPr>
        <w:t xml:space="preserve">. </w:t>
      </w:r>
      <w:r w:rsidRPr="00CB0B61">
        <w:rPr>
          <w:rStyle w:val="citation-161"/>
          <w:sz w:val="22"/>
          <w:szCs w:val="22"/>
        </w:rPr>
        <w:t>It suggests that when performed with aseptic techniques (closed suction system, integrated nebulizer), the intervention does not increase the risk of infection, a concern raised in some previous retrospective studies</w:t>
      </w:r>
      <w:r w:rsidRPr="00CB0B61">
        <w:rPr>
          <w:sz w:val="22"/>
          <w:szCs w:val="22"/>
        </w:rPr>
        <w:t>.</w:t>
      </w:r>
    </w:p>
    <w:p w:rsidR="00EB23B9" w:rsidRPr="00CB0B61" w:rsidRDefault="00BB366A" w:rsidP="00665F36">
      <w:pPr>
        <w:pStyle w:val="NormalWeb"/>
        <w:spacing w:before="0" w:beforeAutospacing="0" w:after="0" w:afterAutospacing="0" w:line="312" w:lineRule="auto"/>
        <w:ind w:firstLine="454"/>
        <w:jc w:val="both"/>
        <w:rPr>
          <w:sz w:val="22"/>
          <w:szCs w:val="22"/>
        </w:rPr>
      </w:pPr>
      <w:r w:rsidRPr="00CB0B61">
        <w:rPr>
          <w:rStyle w:val="citation-160"/>
          <w:sz w:val="22"/>
          <w:szCs w:val="22"/>
        </w:rPr>
        <w:t>The ultimate and most critical effect of the protocol was the reduction in mortality</w:t>
      </w:r>
      <w:r w:rsidRPr="00CB0B61">
        <w:rPr>
          <w:sz w:val="22"/>
          <w:szCs w:val="22"/>
        </w:rPr>
        <w:t xml:space="preserve">. </w:t>
      </w:r>
      <w:r w:rsidRPr="00CB0B61">
        <w:rPr>
          <w:rStyle w:val="citation-159"/>
          <w:sz w:val="22"/>
          <w:szCs w:val="22"/>
        </w:rPr>
        <w:t>The multivariate Cox regression analysis confirmed the intervention protocol as an independent protective factor, reducing the 28-day risk of mortality by 55% (HR = 0.45; p = 0.017)</w:t>
      </w:r>
      <w:r w:rsidRPr="00CB0B61">
        <w:rPr>
          <w:sz w:val="22"/>
          <w:szCs w:val="22"/>
        </w:rPr>
        <w:t xml:space="preserve">. </w:t>
      </w:r>
      <w:r w:rsidRPr="00CB0B61">
        <w:rPr>
          <w:rStyle w:val="citation-158"/>
          <w:sz w:val="22"/>
          <w:szCs w:val="22"/>
        </w:rPr>
        <w:t>This efficacy is especially significant when compared to studies of nebulized heparin monotherapy that showed no survival benefit, suggesting that the synergistic combination of mechanical clearance by bronchoscopy and the pharmacological action of HNA made the difference</w:t>
      </w:r>
      <w:r w:rsidRPr="00CB0B61">
        <w:rPr>
          <w:sz w:val="22"/>
          <w:szCs w:val="22"/>
        </w:rPr>
        <w:t xml:space="preserve">. </w:t>
      </w:r>
      <w:r w:rsidRPr="00CB0B61">
        <w:rPr>
          <w:rStyle w:val="citation-157"/>
          <w:sz w:val="22"/>
          <w:szCs w:val="22"/>
        </w:rPr>
        <w:t>However, this protective effect diminished and was only of borderline significance by the end of treatment</w:t>
      </w:r>
      <w:r w:rsidRPr="00CB0B61">
        <w:rPr>
          <w:sz w:val="22"/>
          <w:szCs w:val="22"/>
        </w:rPr>
        <w:t xml:space="preserve">. </w:t>
      </w:r>
      <w:r w:rsidRPr="00CB0B61">
        <w:rPr>
          <w:rStyle w:val="citation-156"/>
          <w:sz w:val="22"/>
          <w:szCs w:val="22"/>
        </w:rPr>
        <w:t>This can be explained by late complications related to extensive cutaneous burns and sepsis, which are major challenges in the inhalation injury patient population</w:t>
      </w:r>
      <w:r w:rsidR="00A7384B" w:rsidRPr="00CB0B61">
        <w:rPr>
          <w:sz w:val="22"/>
          <w:szCs w:val="22"/>
        </w:rPr>
        <w:t>.</w:t>
      </w:r>
    </w:p>
    <w:p w:rsidR="00A84E92" w:rsidRPr="00CB0B61" w:rsidRDefault="00A84E92" w:rsidP="00B06B8E">
      <w:pPr>
        <w:pStyle w:val="NormalWeb"/>
        <w:spacing w:before="0" w:beforeAutospacing="0" w:after="0" w:afterAutospacing="0" w:line="312" w:lineRule="auto"/>
        <w:ind w:firstLine="720"/>
        <w:jc w:val="both"/>
        <w:rPr>
          <w:sz w:val="22"/>
          <w:szCs w:val="22"/>
        </w:rPr>
      </w:pPr>
    </w:p>
    <w:p w:rsidR="00A84E92" w:rsidRPr="00CB0B61" w:rsidRDefault="00A84E92" w:rsidP="00B06B8E">
      <w:pPr>
        <w:pStyle w:val="NormalWeb"/>
        <w:spacing w:before="0" w:beforeAutospacing="0" w:after="0" w:afterAutospacing="0" w:line="312" w:lineRule="auto"/>
        <w:ind w:firstLine="720"/>
        <w:jc w:val="both"/>
        <w:rPr>
          <w:sz w:val="22"/>
          <w:szCs w:val="22"/>
        </w:rPr>
      </w:pPr>
    </w:p>
    <w:p w:rsidR="00A84E92" w:rsidRPr="00CB0B61" w:rsidRDefault="00A84E92" w:rsidP="00B06B8E">
      <w:pPr>
        <w:pStyle w:val="NormalWeb"/>
        <w:spacing w:before="0" w:beforeAutospacing="0" w:after="0" w:afterAutospacing="0" w:line="312" w:lineRule="auto"/>
        <w:ind w:firstLine="720"/>
        <w:jc w:val="both"/>
        <w:rPr>
          <w:sz w:val="22"/>
          <w:szCs w:val="22"/>
        </w:rPr>
      </w:pPr>
    </w:p>
    <w:p w:rsidR="00A84E92" w:rsidRPr="00CB0B61" w:rsidRDefault="00A84E92" w:rsidP="00B06B8E">
      <w:pPr>
        <w:pStyle w:val="NormalWeb"/>
        <w:spacing w:before="0" w:beforeAutospacing="0" w:after="0" w:afterAutospacing="0" w:line="312" w:lineRule="auto"/>
        <w:ind w:firstLine="720"/>
        <w:jc w:val="both"/>
        <w:rPr>
          <w:sz w:val="22"/>
          <w:szCs w:val="22"/>
        </w:rPr>
      </w:pPr>
    </w:p>
    <w:p w:rsidR="00BB366A" w:rsidRDefault="00BB366A" w:rsidP="00B06B8E">
      <w:pPr>
        <w:pStyle w:val="Heading3"/>
        <w:spacing w:before="0" w:beforeAutospacing="0" w:after="0" w:afterAutospacing="0" w:line="312" w:lineRule="auto"/>
        <w:jc w:val="center"/>
        <w:rPr>
          <w:sz w:val="22"/>
          <w:szCs w:val="22"/>
        </w:rPr>
      </w:pPr>
      <w:r w:rsidRPr="00CB0B61">
        <w:rPr>
          <w:sz w:val="22"/>
          <w:szCs w:val="22"/>
        </w:rPr>
        <w:lastRenderedPageBreak/>
        <w:t>CONCLUSION</w:t>
      </w:r>
    </w:p>
    <w:p w:rsidR="0069474F" w:rsidRPr="00CB0B61" w:rsidRDefault="0069474F" w:rsidP="00B06B8E">
      <w:pPr>
        <w:pStyle w:val="Heading3"/>
        <w:spacing w:before="0" w:beforeAutospacing="0" w:after="0" w:afterAutospacing="0" w:line="312" w:lineRule="auto"/>
        <w:jc w:val="center"/>
        <w:rPr>
          <w:sz w:val="22"/>
          <w:szCs w:val="22"/>
        </w:rPr>
      </w:pPr>
    </w:p>
    <w:p w:rsidR="00BB366A" w:rsidRPr="00CB0B61" w:rsidRDefault="00BB366A" w:rsidP="00B06B8E">
      <w:pPr>
        <w:pStyle w:val="NormalWeb"/>
        <w:spacing w:before="0" w:beforeAutospacing="0" w:after="0" w:afterAutospacing="0" w:line="312" w:lineRule="auto"/>
        <w:ind w:firstLine="454"/>
        <w:jc w:val="both"/>
        <w:rPr>
          <w:sz w:val="22"/>
          <w:szCs w:val="22"/>
        </w:rPr>
      </w:pPr>
      <w:r w:rsidRPr="00CB0B61">
        <w:rPr>
          <w:sz w:val="22"/>
          <w:szCs w:val="22"/>
        </w:rPr>
        <w:t>Based on the results from the study of 76 patients with severe inhalation injury, the following conclusions are drawn:</w:t>
      </w:r>
    </w:p>
    <w:p w:rsidR="00BB366A" w:rsidRPr="00CB0B61" w:rsidRDefault="00BB366A" w:rsidP="00B06B8E">
      <w:pPr>
        <w:pStyle w:val="NormalWeb"/>
        <w:spacing w:before="0" w:beforeAutospacing="0" w:after="0" w:afterAutospacing="0" w:line="312" w:lineRule="auto"/>
        <w:jc w:val="both"/>
        <w:rPr>
          <w:rStyle w:val="citation-155"/>
          <w:sz w:val="22"/>
          <w:szCs w:val="22"/>
        </w:rPr>
      </w:pPr>
      <w:r w:rsidRPr="00CB0B61">
        <w:rPr>
          <w:rStyle w:val="citation-155"/>
          <w:b/>
          <w:bCs/>
          <w:sz w:val="22"/>
          <w:szCs w:val="22"/>
        </w:rPr>
        <w:t xml:space="preserve">1. Clinical and </w:t>
      </w:r>
      <w:r w:rsidR="00665F36">
        <w:rPr>
          <w:rStyle w:val="citation-155"/>
          <w:b/>
          <w:bCs/>
          <w:sz w:val="22"/>
          <w:szCs w:val="22"/>
        </w:rPr>
        <w:t>l</w:t>
      </w:r>
      <w:r w:rsidRPr="00CB0B61">
        <w:rPr>
          <w:rStyle w:val="citation-155"/>
          <w:b/>
          <w:bCs/>
          <w:sz w:val="22"/>
          <w:szCs w:val="22"/>
        </w:rPr>
        <w:t xml:space="preserve">aboratory </w:t>
      </w:r>
      <w:r w:rsidR="00665F36">
        <w:rPr>
          <w:rStyle w:val="citation-155"/>
          <w:b/>
          <w:bCs/>
          <w:sz w:val="22"/>
          <w:szCs w:val="22"/>
        </w:rPr>
        <w:t>c</w:t>
      </w:r>
      <w:r w:rsidRPr="00CB0B61">
        <w:rPr>
          <w:rStyle w:val="citation-155"/>
          <w:b/>
          <w:bCs/>
          <w:sz w:val="22"/>
          <w:szCs w:val="22"/>
        </w:rPr>
        <w:t xml:space="preserve">haracteristics of </w:t>
      </w:r>
      <w:r w:rsidR="00665F36">
        <w:rPr>
          <w:rStyle w:val="citation-155"/>
          <w:b/>
          <w:bCs/>
          <w:sz w:val="22"/>
          <w:szCs w:val="22"/>
        </w:rPr>
        <w:t>i</w:t>
      </w:r>
      <w:r w:rsidRPr="00CB0B61">
        <w:rPr>
          <w:rStyle w:val="citation-155"/>
          <w:b/>
          <w:bCs/>
          <w:sz w:val="22"/>
          <w:szCs w:val="22"/>
        </w:rPr>
        <w:t xml:space="preserve">nhalation Injury on </w:t>
      </w:r>
      <w:r w:rsidR="00665F36">
        <w:rPr>
          <w:rStyle w:val="citation-155"/>
          <w:b/>
          <w:bCs/>
          <w:sz w:val="22"/>
          <w:szCs w:val="22"/>
        </w:rPr>
        <w:t>a</w:t>
      </w:r>
      <w:r w:rsidRPr="00CB0B61">
        <w:rPr>
          <w:rStyle w:val="citation-155"/>
          <w:b/>
          <w:bCs/>
          <w:sz w:val="22"/>
          <w:szCs w:val="22"/>
        </w:rPr>
        <w:t>dmission:</w:t>
      </w:r>
      <w:r w:rsidRPr="00CB0B61">
        <w:rPr>
          <w:rStyle w:val="citation-155"/>
          <w:sz w:val="22"/>
          <w:szCs w:val="22"/>
        </w:rPr>
        <w:t xml:space="preserve"> </w:t>
      </w:r>
    </w:p>
    <w:p w:rsidR="00BB366A" w:rsidRPr="009D3992" w:rsidRDefault="00BB366A" w:rsidP="00B06B8E">
      <w:pPr>
        <w:pStyle w:val="NormalWeb"/>
        <w:spacing w:before="0" w:beforeAutospacing="0" w:after="0" w:afterAutospacing="0" w:line="312" w:lineRule="auto"/>
        <w:ind w:firstLine="454"/>
        <w:jc w:val="both"/>
        <w:rPr>
          <w:spacing w:val="-2"/>
          <w:sz w:val="22"/>
          <w:szCs w:val="22"/>
        </w:rPr>
      </w:pPr>
      <w:r w:rsidRPr="009D3992">
        <w:rPr>
          <w:rStyle w:val="citation-155"/>
          <w:spacing w:val="-2"/>
          <w:sz w:val="22"/>
          <w:szCs w:val="22"/>
        </w:rPr>
        <w:t>Patients with inhalation injury present with a very severe clinical picture, characterized by burn shock, a high risk of CO poisoning, and early impairment of lung function</w:t>
      </w:r>
      <w:r w:rsidRPr="009D3992">
        <w:rPr>
          <w:spacing w:val="-2"/>
          <w:sz w:val="22"/>
          <w:szCs w:val="22"/>
        </w:rPr>
        <w:t xml:space="preserve">. </w:t>
      </w:r>
      <w:r w:rsidRPr="009D3992">
        <w:rPr>
          <w:rStyle w:val="citation-154"/>
          <w:spacing w:val="-2"/>
          <w:sz w:val="22"/>
          <w:szCs w:val="22"/>
        </w:rPr>
        <w:t>The number of clinical symptoms strongly and positively correlates with the severity of injury seen on bronchoscopy</w:t>
      </w:r>
      <w:r w:rsidRPr="009D3992">
        <w:rPr>
          <w:spacing w:val="-2"/>
          <w:sz w:val="22"/>
          <w:szCs w:val="22"/>
        </w:rPr>
        <w:t xml:space="preserve">. </w:t>
      </w:r>
      <w:r w:rsidRPr="009D3992">
        <w:rPr>
          <w:rStyle w:val="citation-153"/>
          <w:spacing w:val="-2"/>
          <w:sz w:val="22"/>
          <w:szCs w:val="22"/>
        </w:rPr>
        <w:t>Among prognostic scores, the rBaux score demonstrated the best predictive value for mortality in this patient group</w:t>
      </w:r>
      <w:r w:rsidRPr="009D3992">
        <w:rPr>
          <w:spacing w:val="-2"/>
          <w:sz w:val="22"/>
          <w:szCs w:val="22"/>
        </w:rPr>
        <w:t>.</w:t>
      </w:r>
    </w:p>
    <w:p w:rsidR="00BB366A" w:rsidRPr="00CB0B61" w:rsidRDefault="00BB366A" w:rsidP="00B06B8E">
      <w:pPr>
        <w:pStyle w:val="NormalWeb"/>
        <w:spacing w:before="0" w:beforeAutospacing="0" w:after="0" w:afterAutospacing="0" w:line="312" w:lineRule="auto"/>
        <w:jc w:val="both"/>
        <w:rPr>
          <w:rStyle w:val="citation-152"/>
          <w:sz w:val="22"/>
          <w:szCs w:val="22"/>
        </w:rPr>
      </w:pPr>
      <w:r w:rsidRPr="00CB0B61">
        <w:rPr>
          <w:rStyle w:val="citation-152"/>
          <w:b/>
          <w:bCs/>
          <w:sz w:val="22"/>
          <w:szCs w:val="22"/>
        </w:rPr>
        <w:t xml:space="preserve">2. Efficacy of </w:t>
      </w:r>
      <w:r w:rsidR="00665F36">
        <w:rPr>
          <w:rStyle w:val="citation-152"/>
          <w:b/>
          <w:bCs/>
          <w:sz w:val="22"/>
          <w:szCs w:val="22"/>
        </w:rPr>
        <w:t>c</w:t>
      </w:r>
      <w:r w:rsidRPr="00CB0B61">
        <w:rPr>
          <w:rStyle w:val="citation-152"/>
          <w:b/>
          <w:bCs/>
          <w:sz w:val="22"/>
          <w:szCs w:val="22"/>
        </w:rPr>
        <w:t xml:space="preserve">ombined </w:t>
      </w:r>
      <w:r w:rsidR="00665F36">
        <w:rPr>
          <w:rStyle w:val="citation-152"/>
          <w:b/>
          <w:bCs/>
          <w:sz w:val="22"/>
          <w:szCs w:val="22"/>
        </w:rPr>
        <w:t>b</w:t>
      </w:r>
      <w:r w:rsidRPr="00CB0B61">
        <w:rPr>
          <w:rStyle w:val="citation-152"/>
          <w:b/>
          <w:bCs/>
          <w:sz w:val="22"/>
          <w:szCs w:val="22"/>
        </w:rPr>
        <w:t xml:space="preserve">ronchoscopy and </w:t>
      </w:r>
      <w:r w:rsidR="00665F36">
        <w:rPr>
          <w:rStyle w:val="citation-152"/>
          <w:b/>
          <w:bCs/>
          <w:sz w:val="22"/>
          <w:szCs w:val="22"/>
        </w:rPr>
        <w:t>n</w:t>
      </w:r>
      <w:r w:rsidRPr="00CB0B61">
        <w:rPr>
          <w:rStyle w:val="citation-152"/>
          <w:b/>
          <w:bCs/>
          <w:sz w:val="22"/>
          <w:szCs w:val="22"/>
        </w:rPr>
        <w:t>ebulized Heparin/N-Acetylcysteine:</w:t>
      </w:r>
      <w:r w:rsidRPr="00CB0B61">
        <w:rPr>
          <w:rStyle w:val="citation-152"/>
          <w:sz w:val="22"/>
          <w:szCs w:val="22"/>
        </w:rPr>
        <w:t xml:space="preserve"> </w:t>
      </w:r>
    </w:p>
    <w:p w:rsidR="00EB23B9" w:rsidRPr="00CB0B61" w:rsidRDefault="00BB366A" w:rsidP="00B06B8E">
      <w:pPr>
        <w:pStyle w:val="NormalWeb"/>
        <w:spacing w:before="0" w:beforeAutospacing="0" w:after="0" w:afterAutospacing="0" w:line="312" w:lineRule="auto"/>
        <w:ind w:firstLine="454"/>
        <w:jc w:val="both"/>
        <w:rPr>
          <w:sz w:val="22"/>
          <w:szCs w:val="22"/>
        </w:rPr>
      </w:pPr>
      <w:r w:rsidRPr="00CB0B61">
        <w:rPr>
          <w:rStyle w:val="citation-152"/>
          <w:sz w:val="22"/>
          <w:szCs w:val="22"/>
        </w:rPr>
        <w:t>The combined intervention protocol is a safe and highly effective treatment method</w:t>
      </w:r>
      <w:r w:rsidRPr="00CB0B61">
        <w:rPr>
          <w:sz w:val="22"/>
          <w:szCs w:val="22"/>
        </w:rPr>
        <w:t xml:space="preserve">. </w:t>
      </w:r>
      <w:r w:rsidRPr="00CB0B61">
        <w:rPr>
          <w:rStyle w:val="citation-151"/>
          <w:sz w:val="22"/>
          <w:szCs w:val="22"/>
        </w:rPr>
        <w:t>The protocol significantly improves respiratory function, as evidenced by increased pulmonary compliance, reduced airway pressure, and improved blood oxygenation</w:t>
      </w:r>
      <w:r w:rsidRPr="00CB0B61">
        <w:rPr>
          <w:sz w:val="22"/>
          <w:szCs w:val="22"/>
        </w:rPr>
        <w:t xml:space="preserve">. </w:t>
      </w:r>
      <w:r w:rsidRPr="00CB0B61">
        <w:rPr>
          <w:rStyle w:val="citation-150"/>
          <w:rFonts w:eastAsiaTheme="majorEastAsia"/>
          <w:sz w:val="22"/>
          <w:szCs w:val="22"/>
        </w:rPr>
        <w:t>Most importantly, the protocol led to a statistically significant reduction in early mortality at 14 and 28 days and was identified as an independent protective factor for improving survival in patients with severe inhalation injury</w:t>
      </w:r>
      <w:r w:rsidRPr="00CB0B61">
        <w:rPr>
          <w:sz w:val="22"/>
          <w:szCs w:val="22"/>
        </w:rPr>
        <w:t>.</w:t>
      </w:r>
    </w:p>
    <w:p w:rsidR="00A7384B" w:rsidRPr="00CB0B61" w:rsidRDefault="00A7384B" w:rsidP="00B06B8E">
      <w:pPr>
        <w:pStyle w:val="Heading3"/>
        <w:spacing w:before="0" w:beforeAutospacing="0" w:after="0" w:afterAutospacing="0" w:line="312" w:lineRule="auto"/>
        <w:jc w:val="center"/>
        <w:rPr>
          <w:color w:val="1B1C1D"/>
          <w:sz w:val="22"/>
          <w:szCs w:val="22"/>
          <w:bdr w:val="none" w:sz="0" w:space="0" w:color="auto" w:frame="1"/>
        </w:rPr>
      </w:pPr>
    </w:p>
    <w:p w:rsidR="00984119" w:rsidRDefault="00984119">
      <w:pPr>
        <w:rPr>
          <w:rFonts w:ascii="Times New Roman" w:eastAsia="Times New Roman" w:hAnsi="Times New Roman" w:cs="Times New Roman"/>
          <w:b/>
        </w:rPr>
      </w:pPr>
      <w:r>
        <w:rPr>
          <w:b/>
        </w:rPr>
        <w:br w:type="page"/>
      </w:r>
    </w:p>
    <w:p w:rsidR="00BB366A" w:rsidRDefault="00BB366A" w:rsidP="00B06B8E">
      <w:pPr>
        <w:pStyle w:val="NormalWeb"/>
        <w:spacing w:before="0" w:beforeAutospacing="0" w:after="0" w:afterAutospacing="0" w:line="312" w:lineRule="auto"/>
        <w:ind w:firstLine="720"/>
        <w:jc w:val="center"/>
        <w:rPr>
          <w:b/>
          <w:sz w:val="22"/>
          <w:szCs w:val="22"/>
        </w:rPr>
      </w:pPr>
      <w:r w:rsidRPr="00CB0B61">
        <w:rPr>
          <w:b/>
          <w:sz w:val="22"/>
          <w:szCs w:val="22"/>
        </w:rPr>
        <w:lastRenderedPageBreak/>
        <w:t>RECOMMENDATIONS</w:t>
      </w:r>
    </w:p>
    <w:p w:rsidR="0069474F" w:rsidRPr="00CB0B61" w:rsidRDefault="0069474F" w:rsidP="00B06B8E">
      <w:pPr>
        <w:pStyle w:val="NormalWeb"/>
        <w:spacing w:before="0" w:beforeAutospacing="0" w:after="0" w:afterAutospacing="0" w:line="312" w:lineRule="auto"/>
        <w:ind w:firstLine="720"/>
        <w:jc w:val="center"/>
        <w:rPr>
          <w:b/>
          <w:sz w:val="22"/>
          <w:szCs w:val="22"/>
        </w:rPr>
      </w:pPr>
    </w:p>
    <w:p w:rsidR="00EB23B9" w:rsidRPr="00DA3702" w:rsidRDefault="00BB366A" w:rsidP="00B06B8E">
      <w:pPr>
        <w:spacing w:after="0" w:line="312" w:lineRule="auto"/>
        <w:ind w:firstLine="454"/>
        <w:jc w:val="both"/>
        <w:rPr>
          <w:rFonts w:ascii="Times New Roman" w:hAnsi="Times New Roman" w:cs="Times New Roman"/>
          <w:spacing w:val="-2"/>
        </w:rPr>
      </w:pPr>
      <w:r w:rsidRPr="00DA3702">
        <w:rPr>
          <w:rStyle w:val="citation-295"/>
          <w:rFonts w:ascii="Times New Roman" w:hAnsi="Times New Roman" w:cs="Times New Roman"/>
          <w:spacing w:val="-2"/>
        </w:rPr>
        <w:t>To continue conducting a multi-center study with a larger sample size to confirm the efficacy and safety of the protocol</w:t>
      </w:r>
      <w:r w:rsidRPr="00DA3702">
        <w:rPr>
          <w:rFonts w:ascii="Times New Roman" w:hAnsi="Times New Roman" w:cs="Times New Roman"/>
          <w:spacing w:val="-2"/>
        </w:rPr>
        <w:t xml:space="preserve">. </w:t>
      </w:r>
      <w:r w:rsidRPr="00DA3702">
        <w:rPr>
          <w:rStyle w:val="citation-294"/>
          <w:rFonts w:ascii="Times New Roman" w:hAnsi="Times New Roman" w:cs="Times New Roman"/>
          <w:spacing w:val="-2"/>
        </w:rPr>
        <w:t>The results will serve as the scientific basis for developing and implementing a standard protocol for the treatment of inhalation injury using bronchoscopy combined with nebulized Heparin and N-Acetylcysteine</w:t>
      </w:r>
      <w:r w:rsidRPr="00DA3702">
        <w:rPr>
          <w:rFonts w:ascii="Times New Roman" w:hAnsi="Times New Roman" w:cs="Times New Roman"/>
          <w:spacing w:val="-2"/>
        </w:rPr>
        <w:t>.</w:t>
      </w:r>
    </w:p>
    <w:p w:rsidR="00A7384B" w:rsidRPr="00CB0B61" w:rsidRDefault="00A7384B" w:rsidP="00B06B8E">
      <w:pPr>
        <w:pStyle w:val="Heading3"/>
        <w:spacing w:before="0" w:beforeAutospacing="0" w:after="0" w:afterAutospacing="0" w:line="312" w:lineRule="auto"/>
        <w:jc w:val="both"/>
        <w:rPr>
          <w:color w:val="1B1C1D"/>
          <w:sz w:val="22"/>
          <w:szCs w:val="22"/>
          <w:bdr w:val="none" w:sz="0" w:space="0" w:color="auto" w:frame="1"/>
        </w:rPr>
      </w:pPr>
    </w:p>
    <w:p w:rsidR="00DA50B8" w:rsidRPr="00CB0B61" w:rsidRDefault="00DA50B8" w:rsidP="00B06B8E">
      <w:pPr>
        <w:pStyle w:val="Heading3"/>
        <w:spacing w:before="0" w:beforeAutospacing="0" w:after="0" w:afterAutospacing="0" w:line="312" w:lineRule="auto"/>
        <w:jc w:val="center"/>
        <w:rPr>
          <w:sz w:val="22"/>
          <w:szCs w:val="22"/>
        </w:rPr>
      </w:pPr>
    </w:p>
    <w:sectPr w:rsidR="00DA50B8" w:rsidRPr="00CB0B61" w:rsidSect="00D269DE">
      <w:headerReference w:type="even" r:id="rId10"/>
      <w:headerReference w:type="default" r:id="rId11"/>
      <w:headerReference w:type="first" r:id="rId12"/>
      <w:pgSz w:w="8419" w:h="11906" w:orient="landscape" w:code="9"/>
      <w:pgMar w:top="1134" w:right="1134" w:bottom="1134" w:left="1134" w:header="615"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43D0" w:rsidRDefault="005E43D0">
      <w:pPr>
        <w:spacing w:after="0" w:line="240" w:lineRule="auto"/>
      </w:pPr>
      <w:r>
        <w:separator/>
      </w:r>
    </w:p>
  </w:endnote>
  <w:endnote w:type="continuationSeparator" w:id="0">
    <w:p w:rsidR="005E43D0" w:rsidRDefault="005E43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43D0" w:rsidRDefault="005E43D0">
      <w:pPr>
        <w:spacing w:after="0" w:line="240" w:lineRule="auto"/>
      </w:pPr>
      <w:r>
        <w:separator/>
      </w:r>
    </w:p>
  </w:footnote>
  <w:footnote w:type="continuationSeparator" w:id="0">
    <w:p w:rsidR="005E43D0" w:rsidRDefault="005E43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248541364"/>
      <w:docPartObj>
        <w:docPartGallery w:val="Page Numbers (Top of Page)"/>
        <w:docPartUnique/>
      </w:docPartObj>
    </w:sdtPr>
    <w:sdtEndPr>
      <w:rPr>
        <w:rStyle w:val="PageNumber"/>
      </w:rPr>
    </w:sdtEndPr>
    <w:sdtContent>
      <w:p w:rsidR="00984119" w:rsidRDefault="00984119" w:rsidP="009149A0">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rsidR="00984119" w:rsidRDefault="0098411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2960208"/>
      <w:docPartObj>
        <w:docPartGallery w:val="Page Numbers (Top of Page)"/>
        <w:docPartUnique/>
      </w:docPartObj>
    </w:sdtPr>
    <w:sdtEndPr>
      <w:rPr>
        <w:noProof/>
        <w:sz w:val="20"/>
      </w:rPr>
    </w:sdtEndPr>
    <w:sdtContent>
      <w:p w:rsidR="00984119" w:rsidRPr="00D269DE" w:rsidRDefault="00984119" w:rsidP="00D269DE">
        <w:pPr>
          <w:pStyle w:val="Header"/>
          <w:ind w:firstLine="0"/>
          <w:jc w:val="center"/>
          <w:rPr>
            <w:sz w:val="20"/>
          </w:rPr>
        </w:pPr>
        <w:r w:rsidRPr="00D269DE">
          <w:rPr>
            <w:sz w:val="20"/>
          </w:rPr>
          <w:fldChar w:fldCharType="begin"/>
        </w:r>
        <w:r w:rsidRPr="00D269DE">
          <w:rPr>
            <w:sz w:val="20"/>
          </w:rPr>
          <w:instrText xml:space="preserve"> PAGE   \* MERGEFORMAT </w:instrText>
        </w:r>
        <w:r w:rsidRPr="00D269DE">
          <w:rPr>
            <w:sz w:val="20"/>
          </w:rPr>
          <w:fldChar w:fldCharType="separate"/>
        </w:r>
        <w:r w:rsidR="00665F36">
          <w:rPr>
            <w:noProof/>
            <w:sz w:val="20"/>
          </w:rPr>
          <w:t>24</w:t>
        </w:r>
        <w:r w:rsidRPr="00D269DE">
          <w:rPr>
            <w:noProof/>
            <w:sz w:val="20"/>
          </w:rPr>
          <w:fldChar w:fldCharType="end"/>
        </w:r>
      </w:p>
    </w:sdtContent>
  </w:sdt>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119" w:rsidRPr="00A2709D" w:rsidRDefault="00984119" w:rsidP="009149A0">
    <w:pPr>
      <w:pStyle w:val="Header"/>
    </w:pPr>
    <w:r w:rsidRPr="00A2709D">
      <w:t>60</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842B1"/>
    <w:multiLevelType w:val="multilevel"/>
    <w:tmpl w:val="A9607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D4760B"/>
    <w:multiLevelType w:val="multilevel"/>
    <w:tmpl w:val="AF82B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5E5DD0"/>
    <w:multiLevelType w:val="multilevel"/>
    <w:tmpl w:val="7472C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DF82378"/>
    <w:multiLevelType w:val="multilevel"/>
    <w:tmpl w:val="DBD4E800"/>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46DF1B93"/>
    <w:multiLevelType w:val="multilevel"/>
    <w:tmpl w:val="116A6B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AF77616"/>
    <w:multiLevelType w:val="multilevel"/>
    <w:tmpl w:val="EC448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D26555C"/>
    <w:multiLevelType w:val="multilevel"/>
    <w:tmpl w:val="EC82C6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ED554FC"/>
    <w:multiLevelType w:val="multilevel"/>
    <w:tmpl w:val="2EC22B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89C7B4F"/>
    <w:multiLevelType w:val="multilevel"/>
    <w:tmpl w:val="9C029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69053DC"/>
    <w:multiLevelType w:val="multilevel"/>
    <w:tmpl w:val="D8EEB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9"/>
  </w:num>
  <w:num w:numId="3">
    <w:abstractNumId w:val="7"/>
  </w:num>
  <w:num w:numId="4">
    <w:abstractNumId w:val="1"/>
  </w:num>
  <w:num w:numId="5">
    <w:abstractNumId w:val="0"/>
  </w:num>
  <w:num w:numId="6">
    <w:abstractNumId w:val="3"/>
  </w:num>
  <w:num w:numId="7">
    <w:abstractNumId w:val="4"/>
  </w:num>
  <w:num w:numId="8">
    <w:abstractNumId w:val="2"/>
  </w:num>
  <w:num w:numId="9">
    <w:abstractNumId w:val="8"/>
  </w:num>
  <w:num w:numId="10">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efaultTabStop w:val="720"/>
  <w:bookFoldPrint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DDE"/>
    <w:rsid w:val="001B7FF8"/>
    <w:rsid w:val="001F41FF"/>
    <w:rsid w:val="0022322C"/>
    <w:rsid w:val="00237581"/>
    <w:rsid w:val="00244B31"/>
    <w:rsid w:val="002464B6"/>
    <w:rsid w:val="0032577A"/>
    <w:rsid w:val="00326FF9"/>
    <w:rsid w:val="00517E58"/>
    <w:rsid w:val="0054493C"/>
    <w:rsid w:val="00566F5B"/>
    <w:rsid w:val="005D0DDE"/>
    <w:rsid w:val="005E43D0"/>
    <w:rsid w:val="006076D3"/>
    <w:rsid w:val="00631178"/>
    <w:rsid w:val="00665F36"/>
    <w:rsid w:val="0069474F"/>
    <w:rsid w:val="006C7A35"/>
    <w:rsid w:val="007C51A2"/>
    <w:rsid w:val="007E39A4"/>
    <w:rsid w:val="00872A49"/>
    <w:rsid w:val="008F284C"/>
    <w:rsid w:val="009149A0"/>
    <w:rsid w:val="009349FC"/>
    <w:rsid w:val="009674CF"/>
    <w:rsid w:val="00984119"/>
    <w:rsid w:val="009D3992"/>
    <w:rsid w:val="00A357A2"/>
    <w:rsid w:val="00A7384B"/>
    <w:rsid w:val="00A84E92"/>
    <w:rsid w:val="00B06B8E"/>
    <w:rsid w:val="00BA2211"/>
    <w:rsid w:val="00BB366A"/>
    <w:rsid w:val="00BF7EFC"/>
    <w:rsid w:val="00CB0B61"/>
    <w:rsid w:val="00D269DE"/>
    <w:rsid w:val="00DA3702"/>
    <w:rsid w:val="00DA50B8"/>
    <w:rsid w:val="00E72BAF"/>
    <w:rsid w:val="00EB23B9"/>
    <w:rsid w:val="00FB0C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7E1117"/>
  <w15:chartTrackingRefBased/>
  <w15:docId w15:val="{E04AAFB0-7998-4BFF-A934-D22CDF3A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22322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22322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2322C"/>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2464B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322C"/>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22322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22322C"/>
    <w:rPr>
      <w:rFonts w:ascii="Times New Roman" w:eastAsia="Times New Roman" w:hAnsi="Times New Roman" w:cs="Times New Roman"/>
      <w:b/>
      <w:bCs/>
      <w:sz w:val="27"/>
      <w:szCs w:val="27"/>
    </w:rPr>
  </w:style>
  <w:style w:type="paragraph" w:styleId="NormalWeb">
    <w:name w:val="Normal (Web)"/>
    <w:basedOn w:val="Normal"/>
    <w:uiPriority w:val="99"/>
    <w:unhideWhenUsed/>
    <w:rsid w:val="0022322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rel">
    <w:name w:val="mrel"/>
    <w:basedOn w:val="DefaultParagraphFont"/>
    <w:rsid w:val="0022322C"/>
  </w:style>
  <w:style w:type="character" w:customStyle="1" w:styleId="mord">
    <w:name w:val="mord"/>
    <w:basedOn w:val="DefaultParagraphFont"/>
    <w:rsid w:val="0022322C"/>
  </w:style>
  <w:style w:type="character" w:customStyle="1" w:styleId="mpunct">
    <w:name w:val="mpunct"/>
    <w:basedOn w:val="DefaultParagraphFont"/>
    <w:rsid w:val="0022322C"/>
  </w:style>
  <w:style w:type="table" w:styleId="TableGrid">
    <w:name w:val="Table Grid"/>
    <w:basedOn w:val="TableNormal"/>
    <w:uiPriority w:val="39"/>
    <w:rsid w:val="002232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2464B6"/>
    <w:rPr>
      <w:rFonts w:asciiTheme="majorHAnsi" w:eastAsiaTheme="majorEastAsia" w:hAnsiTheme="majorHAnsi" w:cstheme="majorBidi"/>
      <w:i/>
      <w:iCs/>
      <w:color w:val="2E74B5" w:themeColor="accent1" w:themeShade="BF"/>
    </w:rPr>
  </w:style>
  <w:style w:type="character" w:customStyle="1" w:styleId="vlist-s">
    <w:name w:val="vlist-s"/>
    <w:basedOn w:val="DefaultParagraphFont"/>
    <w:rsid w:val="002464B6"/>
  </w:style>
  <w:style w:type="paragraph" w:styleId="Header">
    <w:name w:val="header"/>
    <w:basedOn w:val="Normal"/>
    <w:link w:val="HeaderChar"/>
    <w:uiPriority w:val="99"/>
    <w:unhideWhenUsed/>
    <w:rsid w:val="009149A0"/>
    <w:pPr>
      <w:tabs>
        <w:tab w:val="center" w:pos="4680"/>
        <w:tab w:val="right" w:pos="9360"/>
      </w:tabs>
      <w:spacing w:after="0" w:line="240" w:lineRule="auto"/>
      <w:ind w:firstLine="567"/>
      <w:jc w:val="both"/>
    </w:pPr>
    <w:rPr>
      <w:rFonts w:ascii="Times New Roman" w:hAnsi="Times New Roman" w:cs="Times New Roman"/>
      <w:shd w:val="clear" w:color="auto" w:fill="FFFFFF"/>
    </w:rPr>
  </w:style>
  <w:style w:type="character" w:customStyle="1" w:styleId="HeaderChar">
    <w:name w:val="Header Char"/>
    <w:basedOn w:val="DefaultParagraphFont"/>
    <w:link w:val="Header"/>
    <w:uiPriority w:val="99"/>
    <w:rsid w:val="009149A0"/>
    <w:rPr>
      <w:rFonts w:ascii="Times New Roman" w:hAnsi="Times New Roman" w:cs="Times New Roman"/>
    </w:rPr>
  </w:style>
  <w:style w:type="character" w:styleId="PageNumber">
    <w:name w:val="page number"/>
    <w:basedOn w:val="DefaultParagraphFont"/>
    <w:uiPriority w:val="99"/>
    <w:semiHidden/>
    <w:unhideWhenUsed/>
    <w:rsid w:val="009149A0"/>
  </w:style>
  <w:style w:type="table" w:customStyle="1" w:styleId="TableGrid1">
    <w:name w:val="Table Grid1"/>
    <w:basedOn w:val="TableNormal"/>
    <w:next w:val="TableGrid"/>
    <w:rsid w:val="00631178"/>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2577A"/>
    <w:pPr>
      <w:spacing w:after="200" w:line="276" w:lineRule="auto"/>
      <w:ind w:left="720"/>
      <w:contextualSpacing/>
    </w:pPr>
    <w:rPr>
      <w:rFonts w:eastAsiaTheme="minorEastAsia" w:cs="Times New Roman"/>
      <w:szCs w:val="28"/>
    </w:rPr>
  </w:style>
  <w:style w:type="character" w:customStyle="1" w:styleId="ListParagraphChar">
    <w:name w:val="List Paragraph Char"/>
    <w:link w:val="ListParagraph"/>
    <w:uiPriority w:val="34"/>
    <w:rsid w:val="0032577A"/>
    <w:rPr>
      <w:rFonts w:eastAsiaTheme="minorEastAsia" w:cs="Times New Roman"/>
      <w:szCs w:val="28"/>
    </w:rPr>
  </w:style>
  <w:style w:type="character" w:customStyle="1" w:styleId="button-container">
    <w:name w:val="button-container"/>
    <w:basedOn w:val="DefaultParagraphFont"/>
    <w:rsid w:val="00A7384B"/>
  </w:style>
  <w:style w:type="character" w:customStyle="1" w:styleId="citation-130">
    <w:name w:val="citation-130"/>
    <w:basedOn w:val="DefaultParagraphFont"/>
    <w:rsid w:val="00FB0CB7"/>
  </w:style>
  <w:style w:type="character" w:customStyle="1" w:styleId="citation-129">
    <w:name w:val="citation-129"/>
    <w:basedOn w:val="DefaultParagraphFont"/>
    <w:rsid w:val="00FB0CB7"/>
  </w:style>
  <w:style w:type="character" w:customStyle="1" w:styleId="citation-126">
    <w:name w:val="citation-126"/>
    <w:basedOn w:val="DefaultParagraphFont"/>
    <w:rsid w:val="00FB0CB7"/>
  </w:style>
  <w:style w:type="character" w:customStyle="1" w:styleId="citation-125">
    <w:name w:val="citation-125"/>
    <w:basedOn w:val="DefaultParagraphFont"/>
    <w:rsid w:val="00FB0CB7"/>
  </w:style>
  <w:style w:type="character" w:customStyle="1" w:styleId="citation-124">
    <w:name w:val="citation-124"/>
    <w:basedOn w:val="DefaultParagraphFont"/>
    <w:rsid w:val="00FB0CB7"/>
  </w:style>
  <w:style w:type="character" w:customStyle="1" w:styleId="citation-123">
    <w:name w:val="citation-123"/>
    <w:basedOn w:val="DefaultParagraphFont"/>
    <w:rsid w:val="00FB0CB7"/>
  </w:style>
  <w:style w:type="character" w:customStyle="1" w:styleId="citation-122">
    <w:name w:val="citation-122"/>
    <w:basedOn w:val="DefaultParagraphFont"/>
    <w:rsid w:val="00FB0CB7"/>
  </w:style>
  <w:style w:type="character" w:customStyle="1" w:styleId="citation-121">
    <w:name w:val="citation-121"/>
    <w:basedOn w:val="DefaultParagraphFont"/>
    <w:rsid w:val="00FB0CB7"/>
  </w:style>
  <w:style w:type="character" w:customStyle="1" w:styleId="citation-120">
    <w:name w:val="citation-120"/>
    <w:basedOn w:val="DefaultParagraphFont"/>
    <w:rsid w:val="00FB0CB7"/>
  </w:style>
  <w:style w:type="character" w:customStyle="1" w:styleId="citation-119">
    <w:name w:val="citation-119"/>
    <w:basedOn w:val="DefaultParagraphFont"/>
    <w:rsid w:val="00FB0CB7"/>
  </w:style>
  <w:style w:type="character" w:customStyle="1" w:styleId="citation-118">
    <w:name w:val="citation-118"/>
    <w:basedOn w:val="DefaultParagraphFont"/>
    <w:rsid w:val="00FB0CB7"/>
  </w:style>
  <w:style w:type="character" w:customStyle="1" w:styleId="citation-116">
    <w:name w:val="citation-116"/>
    <w:basedOn w:val="DefaultParagraphFont"/>
    <w:rsid w:val="00FB0CB7"/>
  </w:style>
  <w:style w:type="character" w:customStyle="1" w:styleId="citation-115">
    <w:name w:val="citation-115"/>
    <w:basedOn w:val="DefaultParagraphFont"/>
    <w:rsid w:val="00FB0CB7"/>
  </w:style>
  <w:style w:type="character" w:customStyle="1" w:styleId="citation-114">
    <w:name w:val="citation-114"/>
    <w:basedOn w:val="DefaultParagraphFont"/>
    <w:rsid w:val="00FB0CB7"/>
  </w:style>
  <w:style w:type="character" w:customStyle="1" w:styleId="citation-113">
    <w:name w:val="citation-113"/>
    <w:basedOn w:val="DefaultParagraphFont"/>
    <w:rsid w:val="00FB0CB7"/>
  </w:style>
  <w:style w:type="character" w:customStyle="1" w:styleId="citation-112">
    <w:name w:val="citation-112"/>
    <w:basedOn w:val="DefaultParagraphFont"/>
    <w:rsid w:val="00FB0CB7"/>
  </w:style>
  <w:style w:type="character" w:customStyle="1" w:styleId="citation-111">
    <w:name w:val="citation-111"/>
    <w:basedOn w:val="DefaultParagraphFont"/>
    <w:rsid w:val="00FB0CB7"/>
  </w:style>
  <w:style w:type="character" w:customStyle="1" w:styleId="citation-110">
    <w:name w:val="citation-110"/>
    <w:basedOn w:val="DefaultParagraphFont"/>
    <w:rsid w:val="00FB0CB7"/>
  </w:style>
  <w:style w:type="character" w:customStyle="1" w:styleId="citation-108">
    <w:name w:val="citation-108"/>
    <w:basedOn w:val="DefaultParagraphFont"/>
    <w:rsid w:val="00FB0CB7"/>
  </w:style>
  <w:style w:type="character" w:customStyle="1" w:styleId="citation-107">
    <w:name w:val="citation-107"/>
    <w:basedOn w:val="DefaultParagraphFont"/>
    <w:rsid w:val="00FB0CB7"/>
  </w:style>
  <w:style w:type="character" w:customStyle="1" w:styleId="animating">
    <w:name w:val="animating"/>
    <w:basedOn w:val="DefaultParagraphFont"/>
    <w:rsid w:val="00FB0CB7"/>
  </w:style>
  <w:style w:type="character" w:customStyle="1" w:styleId="citation-103">
    <w:name w:val="citation-103"/>
    <w:basedOn w:val="DefaultParagraphFont"/>
    <w:rsid w:val="00FB0CB7"/>
  </w:style>
  <w:style w:type="character" w:customStyle="1" w:styleId="citation-102">
    <w:name w:val="citation-102"/>
    <w:basedOn w:val="DefaultParagraphFont"/>
    <w:rsid w:val="00FB0CB7"/>
  </w:style>
  <w:style w:type="character" w:customStyle="1" w:styleId="citation-101">
    <w:name w:val="citation-101"/>
    <w:basedOn w:val="DefaultParagraphFont"/>
    <w:rsid w:val="00FB0CB7"/>
  </w:style>
  <w:style w:type="character" w:customStyle="1" w:styleId="citation-100">
    <w:name w:val="citation-100"/>
    <w:basedOn w:val="DefaultParagraphFont"/>
    <w:rsid w:val="00FB0CB7"/>
  </w:style>
  <w:style w:type="character" w:customStyle="1" w:styleId="citation-99">
    <w:name w:val="citation-99"/>
    <w:basedOn w:val="DefaultParagraphFont"/>
    <w:rsid w:val="00FB0CB7"/>
  </w:style>
  <w:style w:type="character" w:customStyle="1" w:styleId="citation-96">
    <w:name w:val="citation-96"/>
    <w:basedOn w:val="DefaultParagraphFont"/>
    <w:rsid w:val="00FB0CB7"/>
  </w:style>
  <w:style w:type="character" w:customStyle="1" w:styleId="citation-95">
    <w:name w:val="citation-95"/>
    <w:basedOn w:val="DefaultParagraphFont"/>
    <w:rsid w:val="00FB0CB7"/>
  </w:style>
  <w:style w:type="character" w:customStyle="1" w:styleId="citation-94">
    <w:name w:val="citation-94"/>
    <w:basedOn w:val="DefaultParagraphFont"/>
    <w:rsid w:val="00FB0CB7"/>
  </w:style>
  <w:style w:type="character" w:customStyle="1" w:styleId="citation-93">
    <w:name w:val="citation-93"/>
    <w:basedOn w:val="DefaultParagraphFont"/>
    <w:rsid w:val="00FB0CB7"/>
  </w:style>
  <w:style w:type="character" w:customStyle="1" w:styleId="citation-92">
    <w:name w:val="citation-92"/>
    <w:basedOn w:val="DefaultParagraphFont"/>
    <w:rsid w:val="00FB0CB7"/>
  </w:style>
  <w:style w:type="character" w:customStyle="1" w:styleId="citation-91">
    <w:name w:val="citation-91"/>
    <w:basedOn w:val="DefaultParagraphFont"/>
    <w:rsid w:val="00FB0CB7"/>
  </w:style>
  <w:style w:type="character" w:customStyle="1" w:styleId="citation-90">
    <w:name w:val="citation-90"/>
    <w:basedOn w:val="DefaultParagraphFont"/>
    <w:rsid w:val="00FB0CB7"/>
  </w:style>
  <w:style w:type="character" w:customStyle="1" w:styleId="citation-89">
    <w:name w:val="citation-89"/>
    <w:basedOn w:val="DefaultParagraphFont"/>
    <w:rsid w:val="00FB0CB7"/>
  </w:style>
  <w:style w:type="character" w:customStyle="1" w:styleId="citation-88">
    <w:name w:val="citation-88"/>
    <w:basedOn w:val="DefaultParagraphFont"/>
    <w:rsid w:val="00FB0CB7"/>
  </w:style>
  <w:style w:type="character" w:customStyle="1" w:styleId="citation-87">
    <w:name w:val="citation-87"/>
    <w:basedOn w:val="DefaultParagraphFont"/>
    <w:rsid w:val="00FB0CB7"/>
  </w:style>
  <w:style w:type="character" w:customStyle="1" w:styleId="citation-84">
    <w:name w:val="citation-84"/>
    <w:basedOn w:val="DefaultParagraphFont"/>
    <w:rsid w:val="00FB0CB7"/>
  </w:style>
  <w:style w:type="character" w:customStyle="1" w:styleId="citation-83">
    <w:name w:val="citation-83"/>
    <w:basedOn w:val="DefaultParagraphFont"/>
    <w:rsid w:val="00FB0CB7"/>
  </w:style>
  <w:style w:type="character" w:customStyle="1" w:styleId="citation-82">
    <w:name w:val="citation-82"/>
    <w:basedOn w:val="DefaultParagraphFont"/>
    <w:rsid w:val="00FB0CB7"/>
  </w:style>
  <w:style w:type="character" w:customStyle="1" w:styleId="citation-81">
    <w:name w:val="citation-81"/>
    <w:basedOn w:val="DefaultParagraphFont"/>
    <w:rsid w:val="00FB0CB7"/>
  </w:style>
  <w:style w:type="character" w:customStyle="1" w:styleId="citation-80">
    <w:name w:val="citation-80"/>
    <w:basedOn w:val="DefaultParagraphFont"/>
    <w:rsid w:val="00FB0CB7"/>
  </w:style>
  <w:style w:type="character" w:customStyle="1" w:styleId="citation-79">
    <w:name w:val="citation-79"/>
    <w:basedOn w:val="DefaultParagraphFont"/>
    <w:rsid w:val="00FB0CB7"/>
  </w:style>
  <w:style w:type="character" w:customStyle="1" w:styleId="citation-78">
    <w:name w:val="citation-78"/>
    <w:basedOn w:val="DefaultParagraphFont"/>
    <w:rsid w:val="00FB0CB7"/>
  </w:style>
  <w:style w:type="character" w:customStyle="1" w:styleId="citation-77">
    <w:name w:val="citation-77"/>
    <w:basedOn w:val="DefaultParagraphFont"/>
    <w:rsid w:val="00566F5B"/>
  </w:style>
  <w:style w:type="character" w:customStyle="1" w:styleId="citation-221">
    <w:name w:val="citation-221"/>
    <w:basedOn w:val="DefaultParagraphFont"/>
    <w:rsid w:val="00566F5B"/>
  </w:style>
  <w:style w:type="character" w:customStyle="1" w:styleId="citation-220">
    <w:name w:val="citation-220"/>
    <w:basedOn w:val="DefaultParagraphFont"/>
    <w:rsid w:val="00566F5B"/>
  </w:style>
  <w:style w:type="character" w:customStyle="1" w:styleId="citation-218">
    <w:name w:val="citation-218"/>
    <w:basedOn w:val="DefaultParagraphFont"/>
    <w:rsid w:val="00566F5B"/>
  </w:style>
  <w:style w:type="character" w:customStyle="1" w:styleId="citation-217">
    <w:name w:val="citation-217"/>
    <w:basedOn w:val="DefaultParagraphFont"/>
    <w:rsid w:val="00566F5B"/>
  </w:style>
  <w:style w:type="character" w:customStyle="1" w:styleId="citation-215">
    <w:name w:val="citation-215"/>
    <w:basedOn w:val="DefaultParagraphFont"/>
    <w:rsid w:val="00566F5B"/>
  </w:style>
  <w:style w:type="character" w:customStyle="1" w:styleId="citation-214">
    <w:name w:val="citation-214"/>
    <w:basedOn w:val="DefaultParagraphFont"/>
    <w:rsid w:val="00566F5B"/>
  </w:style>
  <w:style w:type="character" w:customStyle="1" w:styleId="citation-212">
    <w:name w:val="citation-212"/>
    <w:basedOn w:val="DefaultParagraphFont"/>
    <w:rsid w:val="00566F5B"/>
  </w:style>
  <w:style w:type="character" w:customStyle="1" w:styleId="citation-211">
    <w:name w:val="citation-211"/>
    <w:basedOn w:val="DefaultParagraphFont"/>
    <w:rsid w:val="00566F5B"/>
  </w:style>
  <w:style w:type="character" w:customStyle="1" w:styleId="citation-209">
    <w:name w:val="citation-209"/>
    <w:basedOn w:val="DefaultParagraphFont"/>
    <w:rsid w:val="00566F5B"/>
  </w:style>
  <w:style w:type="character" w:customStyle="1" w:styleId="citation-208">
    <w:name w:val="citation-208"/>
    <w:basedOn w:val="DefaultParagraphFont"/>
    <w:rsid w:val="00566F5B"/>
  </w:style>
  <w:style w:type="character" w:customStyle="1" w:styleId="citation-206">
    <w:name w:val="citation-206"/>
    <w:basedOn w:val="DefaultParagraphFont"/>
    <w:rsid w:val="00566F5B"/>
  </w:style>
  <w:style w:type="character" w:customStyle="1" w:styleId="citation-205">
    <w:name w:val="citation-205"/>
    <w:basedOn w:val="DefaultParagraphFont"/>
    <w:rsid w:val="00566F5B"/>
  </w:style>
  <w:style w:type="character" w:customStyle="1" w:styleId="citation-204">
    <w:name w:val="citation-204"/>
    <w:basedOn w:val="DefaultParagraphFont"/>
    <w:rsid w:val="00566F5B"/>
  </w:style>
  <w:style w:type="character" w:customStyle="1" w:styleId="citation-203">
    <w:name w:val="citation-203"/>
    <w:basedOn w:val="DefaultParagraphFont"/>
    <w:rsid w:val="00566F5B"/>
  </w:style>
  <w:style w:type="character" w:customStyle="1" w:styleId="citation-202">
    <w:name w:val="citation-202"/>
    <w:basedOn w:val="DefaultParagraphFont"/>
    <w:rsid w:val="00566F5B"/>
  </w:style>
  <w:style w:type="character" w:customStyle="1" w:styleId="citation-200">
    <w:name w:val="citation-200"/>
    <w:basedOn w:val="DefaultParagraphFont"/>
    <w:rsid w:val="00566F5B"/>
  </w:style>
  <w:style w:type="character" w:customStyle="1" w:styleId="citation-198">
    <w:name w:val="citation-198"/>
    <w:basedOn w:val="DefaultParagraphFont"/>
    <w:rsid w:val="00BB366A"/>
  </w:style>
  <w:style w:type="character" w:customStyle="1" w:styleId="citation-197">
    <w:name w:val="citation-197"/>
    <w:basedOn w:val="DefaultParagraphFont"/>
    <w:rsid w:val="00BB366A"/>
  </w:style>
  <w:style w:type="character" w:customStyle="1" w:styleId="citation-196">
    <w:name w:val="citation-196"/>
    <w:basedOn w:val="DefaultParagraphFont"/>
    <w:rsid w:val="00BB366A"/>
  </w:style>
  <w:style w:type="character" w:customStyle="1" w:styleId="citation-195">
    <w:name w:val="citation-195"/>
    <w:basedOn w:val="DefaultParagraphFont"/>
    <w:rsid w:val="00BB366A"/>
  </w:style>
  <w:style w:type="character" w:customStyle="1" w:styleId="citation-194">
    <w:name w:val="citation-194"/>
    <w:basedOn w:val="DefaultParagraphFont"/>
    <w:rsid w:val="00BB366A"/>
  </w:style>
  <w:style w:type="character" w:customStyle="1" w:styleId="citation-192">
    <w:name w:val="citation-192"/>
    <w:basedOn w:val="DefaultParagraphFont"/>
    <w:rsid w:val="00BB366A"/>
  </w:style>
  <w:style w:type="character" w:customStyle="1" w:styleId="citation-191">
    <w:name w:val="citation-191"/>
    <w:basedOn w:val="DefaultParagraphFont"/>
    <w:rsid w:val="00BB366A"/>
  </w:style>
  <w:style w:type="character" w:customStyle="1" w:styleId="citation-189">
    <w:name w:val="citation-189"/>
    <w:basedOn w:val="DefaultParagraphFont"/>
    <w:rsid w:val="00BB366A"/>
  </w:style>
  <w:style w:type="character" w:customStyle="1" w:styleId="citation-188">
    <w:name w:val="citation-188"/>
    <w:basedOn w:val="DefaultParagraphFont"/>
    <w:rsid w:val="00BB366A"/>
  </w:style>
  <w:style w:type="character" w:customStyle="1" w:styleId="citation-187">
    <w:name w:val="citation-187"/>
    <w:basedOn w:val="DefaultParagraphFont"/>
    <w:rsid w:val="00BB366A"/>
  </w:style>
  <w:style w:type="character" w:customStyle="1" w:styleId="citation-185">
    <w:name w:val="citation-185"/>
    <w:basedOn w:val="DefaultParagraphFont"/>
    <w:rsid w:val="00BB366A"/>
  </w:style>
  <w:style w:type="character" w:customStyle="1" w:styleId="citation-184">
    <w:name w:val="citation-184"/>
    <w:basedOn w:val="DefaultParagraphFont"/>
    <w:rsid w:val="00BB366A"/>
  </w:style>
  <w:style w:type="character" w:customStyle="1" w:styleId="citation-182">
    <w:name w:val="citation-182"/>
    <w:basedOn w:val="DefaultParagraphFont"/>
    <w:rsid w:val="00BB366A"/>
  </w:style>
  <w:style w:type="character" w:customStyle="1" w:styleId="citation-181">
    <w:name w:val="citation-181"/>
    <w:basedOn w:val="DefaultParagraphFont"/>
    <w:rsid w:val="00BB366A"/>
  </w:style>
  <w:style w:type="character" w:customStyle="1" w:styleId="citation-180">
    <w:name w:val="citation-180"/>
    <w:basedOn w:val="DefaultParagraphFont"/>
    <w:rsid w:val="00BB366A"/>
  </w:style>
  <w:style w:type="character" w:customStyle="1" w:styleId="citation-179">
    <w:name w:val="citation-179"/>
    <w:basedOn w:val="DefaultParagraphFont"/>
    <w:rsid w:val="00BB366A"/>
  </w:style>
  <w:style w:type="character" w:customStyle="1" w:styleId="citation-178">
    <w:name w:val="citation-178"/>
    <w:basedOn w:val="DefaultParagraphFont"/>
    <w:rsid w:val="00BB366A"/>
  </w:style>
  <w:style w:type="character" w:customStyle="1" w:styleId="citation-177">
    <w:name w:val="citation-177"/>
    <w:basedOn w:val="DefaultParagraphFont"/>
    <w:rsid w:val="00BB366A"/>
  </w:style>
  <w:style w:type="character" w:customStyle="1" w:styleId="citation-176">
    <w:name w:val="citation-176"/>
    <w:basedOn w:val="DefaultParagraphFont"/>
    <w:rsid w:val="00BB366A"/>
  </w:style>
  <w:style w:type="character" w:customStyle="1" w:styleId="citation-175">
    <w:name w:val="citation-175"/>
    <w:basedOn w:val="DefaultParagraphFont"/>
    <w:rsid w:val="00BB366A"/>
  </w:style>
  <w:style w:type="character" w:customStyle="1" w:styleId="citation-174">
    <w:name w:val="citation-174"/>
    <w:basedOn w:val="DefaultParagraphFont"/>
    <w:rsid w:val="00BB366A"/>
  </w:style>
  <w:style w:type="character" w:customStyle="1" w:styleId="citation-173">
    <w:name w:val="citation-173"/>
    <w:basedOn w:val="DefaultParagraphFont"/>
    <w:rsid w:val="00BB366A"/>
  </w:style>
  <w:style w:type="character" w:customStyle="1" w:styleId="citation-172">
    <w:name w:val="citation-172"/>
    <w:basedOn w:val="DefaultParagraphFont"/>
    <w:rsid w:val="00BB366A"/>
  </w:style>
  <w:style w:type="character" w:customStyle="1" w:styleId="citation-171">
    <w:name w:val="citation-171"/>
    <w:basedOn w:val="DefaultParagraphFont"/>
    <w:rsid w:val="00BB366A"/>
  </w:style>
  <w:style w:type="character" w:customStyle="1" w:styleId="citation-170">
    <w:name w:val="citation-170"/>
    <w:basedOn w:val="DefaultParagraphFont"/>
    <w:rsid w:val="00BB366A"/>
  </w:style>
  <w:style w:type="character" w:customStyle="1" w:styleId="citation-169">
    <w:name w:val="citation-169"/>
    <w:basedOn w:val="DefaultParagraphFont"/>
    <w:rsid w:val="00BB366A"/>
  </w:style>
  <w:style w:type="character" w:customStyle="1" w:styleId="citation-168">
    <w:name w:val="citation-168"/>
    <w:basedOn w:val="DefaultParagraphFont"/>
    <w:rsid w:val="00BB366A"/>
  </w:style>
  <w:style w:type="character" w:customStyle="1" w:styleId="citation-167">
    <w:name w:val="citation-167"/>
    <w:basedOn w:val="DefaultParagraphFont"/>
    <w:rsid w:val="00BB366A"/>
  </w:style>
  <w:style w:type="character" w:customStyle="1" w:styleId="citation-166">
    <w:name w:val="citation-166"/>
    <w:basedOn w:val="DefaultParagraphFont"/>
    <w:rsid w:val="00BB366A"/>
  </w:style>
  <w:style w:type="character" w:customStyle="1" w:styleId="citation-165">
    <w:name w:val="citation-165"/>
    <w:basedOn w:val="DefaultParagraphFont"/>
    <w:rsid w:val="00BB366A"/>
  </w:style>
  <w:style w:type="character" w:customStyle="1" w:styleId="citation-164">
    <w:name w:val="citation-164"/>
    <w:basedOn w:val="DefaultParagraphFont"/>
    <w:rsid w:val="00BB366A"/>
  </w:style>
  <w:style w:type="character" w:customStyle="1" w:styleId="citation-163">
    <w:name w:val="citation-163"/>
    <w:basedOn w:val="DefaultParagraphFont"/>
    <w:rsid w:val="00BB366A"/>
  </w:style>
  <w:style w:type="character" w:customStyle="1" w:styleId="citation-162">
    <w:name w:val="citation-162"/>
    <w:basedOn w:val="DefaultParagraphFont"/>
    <w:rsid w:val="00BB366A"/>
  </w:style>
  <w:style w:type="character" w:customStyle="1" w:styleId="citation-161">
    <w:name w:val="citation-161"/>
    <w:basedOn w:val="DefaultParagraphFont"/>
    <w:rsid w:val="00BB366A"/>
  </w:style>
  <w:style w:type="character" w:customStyle="1" w:styleId="citation-160">
    <w:name w:val="citation-160"/>
    <w:basedOn w:val="DefaultParagraphFont"/>
    <w:rsid w:val="00BB366A"/>
  </w:style>
  <w:style w:type="character" w:customStyle="1" w:styleId="citation-159">
    <w:name w:val="citation-159"/>
    <w:basedOn w:val="DefaultParagraphFont"/>
    <w:rsid w:val="00BB366A"/>
  </w:style>
  <w:style w:type="character" w:customStyle="1" w:styleId="citation-158">
    <w:name w:val="citation-158"/>
    <w:basedOn w:val="DefaultParagraphFont"/>
    <w:rsid w:val="00BB366A"/>
  </w:style>
  <w:style w:type="character" w:customStyle="1" w:styleId="citation-157">
    <w:name w:val="citation-157"/>
    <w:basedOn w:val="DefaultParagraphFont"/>
    <w:rsid w:val="00BB366A"/>
  </w:style>
  <w:style w:type="character" w:customStyle="1" w:styleId="citation-156">
    <w:name w:val="citation-156"/>
    <w:basedOn w:val="DefaultParagraphFont"/>
    <w:rsid w:val="00BB366A"/>
  </w:style>
  <w:style w:type="character" w:customStyle="1" w:styleId="citation-155">
    <w:name w:val="citation-155"/>
    <w:basedOn w:val="DefaultParagraphFont"/>
    <w:rsid w:val="00BB366A"/>
  </w:style>
  <w:style w:type="character" w:customStyle="1" w:styleId="citation-154">
    <w:name w:val="citation-154"/>
    <w:basedOn w:val="DefaultParagraphFont"/>
    <w:rsid w:val="00BB366A"/>
  </w:style>
  <w:style w:type="character" w:customStyle="1" w:styleId="citation-153">
    <w:name w:val="citation-153"/>
    <w:basedOn w:val="DefaultParagraphFont"/>
    <w:rsid w:val="00BB366A"/>
  </w:style>
  <w:style w:type="character" w:customStyle="1" w:styleId="citation-152">
    <w:name w:val="citation-152"/>
    <w:basedOn w:val="DefaultParagraphFont"/>
    <w:rsid w:val="00BB366A"/>
  </w:style>
  <w:style w:type="character" w:customStyle="1" w:styleId="citation-151">
    <w:name w:val="citation-151"/>
    <w:basedOn w:val="DefaultParagraphFont"/>
    <w:rsid w:val="00BB366A"/>
  </w:style>
  <w:style w:type="character" w:customStyle="1" w:styleId="citation-150">
    <w:name w:val="citation-150"/>
    <w:basedOn w:val="DefaultParagraphFont"/>
    <w:rsid w:val="00BB366A"/>
  </w:style>
  <w:style w:type="character" w:customStyle="1" w:styleId="citation-295">
    <w:name w:val="citation-295"/>
    <w:basedOn w:val="DefaultParagraphFont"/>
    <w:rsid w:val="00BB366A"/>
  </w:style>
  <w:style w:type="character" w:customStyle="1" w:styleId="citation-294">
    <w:name w:val="citation-294"/>
    <w:basedOn w:val="DefaultParagraphFont"/>
    <w:rsid w:val="00BB366A"/>
  </w:style>
  <w:style w:type="character" w:customStyle="1" w:styleId="citation-147">
    <w:name w:val="citation-147"/>
    <w:basedOn w:val="DefaultParagraphFont"/>
    <w:rsid w:val="00E72BAF"/>
  </w:style>
  <w:style w:type="character" w:customStyle="1" w:styleId="citation-146">
    <w:name w:val="citation-146"/>
    <w:basedOn w:val="DefaultParagraphFont"/>
    <w:rsid w:val="00E72BAF"/>
  </w:style>
  <w:style w:type="character" w:customStyle="1" w:styleId="citation-145">
    <w:name w:val="citation-145"/>
    <w:basedOn w:val="DefaultParagraphFont"/>
    <w:rsid w:val="00E72BAF"/>
  </w:style>
  <w:style w:type="paragraph" w:styleId="Footer">
    <w:name w:val="footer"/>
    <w:basedOn w:val="Normal"/>
    <w:link w:val="FooterChar"/>
    <w:uiPriority w:val="99"/>
    <w:unhideWhenUsed/>
    <w:rsid w:val="00D269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69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618320">
      <w:bodyDiv w:val="1"/>
      <w:marLeft w:val="0"/>
      <w:marRight w:val="0"/>
      <w:marTop w:val="0"/>
      <w:marBottom w:val="0"/>
      <w:divBdr>
        <w:top w:val="none" w:sz="0" w:space="0" w:color="auto"/>
        <w:left w:val="none" w:sz="0" w:space="0" w:color="auto"/>
        <w:bottom w:val="none" w:sz="0" w:space="0" w:color="auto"/>
        <w:right w:val="none" w:sz="0" w:space="0" w:color="auto"/>
      </w:divBdr>
    </w:div>
    <w:div w:id="211812414">
      <w:bodyDiv w:val="1"/>
      <w:marLeft w:val="0"/>
      <w:marRight w:val="0"/>
      <w:marTop w:val="0"/>
      <w:marBottom w:val="0"/>
      <w:divBdr>
        <w:top w:val="none" w:sz="0" w:space="0" w:color="auto"/>
        <w:left w:val="none" w:sz="0" w:space="0" w:color="auto"/>
        <w:bottom w:val="none" w:sz="0" w:space="0" w:color="auto"/>
        <w:right w:val="none" w:sz="0" w:space="0" w:color="auto"/>
      </w:divBdr>
    </w:div>
    <w:div w:id="309793739">
      <w:bodyDiv w:val="1"/>
      <w:marLeft w:val="0"/>
      <w:marRight w:val="0"/>
      <w:marTop w:val="0"/>
      <w:marBottom w:val="0"/>
      <w:divBdr>
        <w:top w:val="none" w:sz="0" w:space="0" w:color="auto"/>
        <w:left w:val="none" w:sz="0" w:space="0" w:color="auto"/>
        <w:bottom w:val="none" w:sz="0" w:space="0" w:color="auto"/>
        <w:right w:val="none" w:sz="0" w:space="0" w:color="auto"/>
      </w:divBdr>
    </w:div>
    <w:div w:id="544760934">
      <w:bodyDiv w:val="1"/>
      <w:marLeft w:val="0"/>
      <w:marRight w:val="0"/>
      <w:marTop w:val="0"/>
      <w:marBottom w:val="0"/>
      <w:divBdr>
        <w:top w:val="none" w:sz="0" w:space="0" w:color="auto"/>
        <w:left w:val="none" w:sz="0" w:space="0" w:color="auto"/>
        <w:bottom w:val="none" w:sz="0" w:space="0" w:color="auto"/>
        <w:right w:val="none" w:sz="0" w:space="0" w:color="auto"/>
      </w:divBdr>
    </w:div>
    <w:div w:id="557714955">
      <w:bodyDiv w:val="1"/>
      <w:marLeft w:val="0"/>
      <w:marRight w:val="0"/>
      <w:marTop w:val="0"/>
      <w:marBottom w:val="0"/>
      <w:divBdr>
        <w:top w:val="none" w:sz="0" w:space="0" w:color="auto"/>
        <w:left w:val="none" w:sz="0" w:space="0" w:color="auto"/>
        <w:bottom w:val="none" w:sz="0" w:space="0" w:color="auto"/>
        <w:right w:val="none" w:sz="0" w:space="0" w:color="auto"/>
      </w:divBdr>
    </w:div>
    <w:div w:id="669600018">
      <w:bodyDiv w:val="1"/>
      <w:marLeft w:val="0"/>
      <w:marRight w:val="0"/>
      <w:marTop w:val="0"/>
      <w:marBottom w:val="0"/>
      <w:divBdr>
        <w:top w:val="none" w:sz="0" w:space="0" w:color="auto"/>
        <w:left w:val="none" w:sz="0" w:space="0" w:color="auto"/>
        <w:bottom w:val="none" w:sz="0" w:space="0" w:color="auto"/>
        <w:right w:val="none" w:sz="0" w:space="0" w:color="auto"/>
      </w:divBdr>
    </w:div>
    <w:div w:id="681931825">
      <w:bodyDiv w:val="1"/>
      <w:marLeft w:val="0"/>
      <w:marRight w:val="0"/>
      <w:marTop w:val="0"/>
      <w:marBottom w:val="0"/>
      <w:divBdr>
        <w:top w:val="none" w:sz="0" w:space="0" w:color="auto"/>
        <w:left w:val="none" w:sz="0" w:space="0" w:color="auto"/>
        <w:bottom w:val="none" w:sz="0" w:space="0" w:color="auto"/>
        <w:right w:val="none" w:sz="0" w:space="0" w:color="auto"/>
      </w:divBdr>
    </w:div>
    <w:div w:id="870533589">
      <w:bodyDiv w:val="1"/>
      <w:marLeft w:val="0"/>
      <w:marRight w:val="0"/>
      <w:marTop w:val="0"/>
      <w:marBottom w:val="0"/>
      <w:divBdr>
        <w:top w:val="none" w:sz="0" w:space="0" w:color="auto"/>
        <w:left w:val="none" w:sz="0" w:space="0" w:color="auto"/>
        <w:bottom w:val="none" w:sz="0" w:space="0" w:color="auto"/>
        <w:right w:val="none" w:sz="0" w:space="0" w:color="auto"/>
      </w:divBdr>
    </w:div>
    <w:div w:id="903610625">
      <w:bodyDiv w:val="1"/>
      <w:marLeft w:val="0"/>
      <w:marRight w:val="0"/>
      <w:marTop w:val="0"/>
      <w:marBottom w:val="0"/>
      <w:divBdr>
        <w:top w:val="none" w:sz="0" w:space="0" w:color="auto"/>
        <w:left w:val="none" w:sz="0" w:space="0" w:color="auto"/>
        <w:bottom w:val="none" w:sz="0" w:space="0" w:color="auto"/>
        <w:right w:val="none" w:sz="0" w:space="0" w:color="auto"/>
      </w:divBdr>
    </w:div>
    <w:div w:id="969019658">
      <w:bodyDiv w:val="1"/>
      <w:marLeft w:val="0"/>
      <w:marRight w:val="0"/>
      <w:marTop w:val="0"/>
      <w:marBottom w:val="0"/>
      <w:divBdr>
        <w:top w:val="none" w:sz="0" w:space="0" w:color="auto"/>
        <w:left w:val="none" w:sz="0" w:space="0" w:color="auto"/>
        <w:bottom w:val="none" w:sz="0" w:space="0" w:color="auto"/>
        <w:right w:val="none" w:sz="0" w:space="0" w:color="auto"/>
      </w:divBdr>
    </w:div>
    <w:div w:id="988635878">
      <w:bodyDiv w:val="1"/>
      <w:marLeft w:val="0"/>
      <w:marRight w:val="0"/>
      <w:marTop w:val="0"/>
      <w:marBottom w:val="0"/>
      <w:divBdr>
        <w:top w:val="none" w:sz="0" w:space="0" w:color="auto"/>
        <w:left w:val="none" w:sz="0" w:space="0" w:color="auto"/>
        <w:bottom w:val="none" w:sz="0" w:space="0" w:color="auto"/>
        <w:right w:val="none" w:sz="0" w:space="0" w:color="auto"/>
      </w:divBdr>
    </w:div>
    <w:div w:id="1045177546">
      <w:bodyDiv w:val="1"/>
      <w:marLeft w:val="0"/>
      <w:marRight w:val="0"/>
      <w:marTop w:val="0"/>
      <w:marBottom w:val="0"/>
      <w:divBdr>
        <w:top w:val="none" w:sz="0" w:space="0" w:color="auto"/>
        <w:left w:val="none" w:sz="0" w:space="0" w:color="auto"/>
        <w:bottom w:val="none" w:sz="0" w:space="0" w:color="auto"/>
        <w:right w:val="none" w:sz="0" w:space="0" w:color="auto"/>
      </w:divBdr>
    </w:div>
    <w:div w:id="1070033298">
      <w:bodyDiv w:val="1"/>
      <w:marLeft w:val="0"/>
      <w:marRight w:val="0"/>
      <w:marTop w:val="0"/>
      <w:marBottom w:val="0"/>
      <w:divBdr>
        <w:top w:val="none" w:sz="0" w:space="0" w:color="auto"/>
        <w:left w:val="none" w:sz="0" w:space="0" w:color="auto"/>
        <w:bottom w:val="none" w:sz="0" w:space="0" w:color="auto"/>
        <w:right w:val="none" w:sz="0" w:space="0" w:color="auto"/>
      </w:divBdr>
    </w:div>
    <w:div w:id="1215120201">
      <w:bodyDiv w:val="1"/>
      <w:marLeft w:val="0"/>
      <w:marRight w:val="0"/>
      <w:marTop w:val="0"/>
      <w:marBottom w:val="0"/>
      <w:divBdr>
        <w:top w:val="none" w:sz="0" w:space="0" w:color="auto"/>
        <w:left w:val="none" w:sz="0" w:space="0" w:color="auto"/>
        <w:bottom w:val="none" w:sz="0" w:space="0" w:color="auto"/>
        <w:right w:val="none" w:sz="0" w:space="0" w:color="auto"/>
      </w:divBdr>
    </w:div>
    <w:div w:id="1279678851">
      <w:bodyDiv w:val="1"/>
      <w:marLeft w:val="0"/>
      <w:marRight w:val="0"/>
      <w:marTop w:val="0"/>
      <w:marBottom w:val="0"/>
      <w:divBdr>
        <w:top w:val="none" w:sz="0" w:space="0" w:color="auto"/>
        <w:left w:val="none" w:sz="0" w:space="0" w:color="auto"/>
        <w:bottom w:val="none" w:sz="0" w:space="0" w:color="auto"/>
        <w:right w:val="none" w:sz="0" w:space="0" w:color="auto"/>
      </w:divBdr>
    </w:div>
    <w:div w:id="1312103312">
      <w:bodyDiv w:val="1"/>
      <w:marLeft w:val="0"/>
      <w:marRight w:val="0"/>
      <w:marTop w:val="0"/>
      <w:marBottom w:val="0"/>
      <w:divBdr>
        <w:top w:val="none" w:sz="0" w:space="0" w:color="auto"/>
        <w:left w:val="none" w:sz="0" w:space="0" w:color="auto"/>
        <w:bottom w:val="none" w:sz="0" w:space="0" w:color="auto"/>
        <w:right w:val="none" w:sz="0" w:space="0" w:color="auto"/>
      </w:divBdr>
    </w:div>
    <w:div w:id="1606571175">
      <w:bodyDiv w:val="1"/>
      <w:marLeft w:val="0"/>
      <w:marRight w:val="0"/>
      <w:marTop w:val="0"/>
      <w:marBottom w:val="0"/>
      <w:divBdr>
        <w:top w:val="none" w:sz="0" w:space="0" w:color="auto"/>
        <w:left w:val="none" w:sz="0" w:space="0" w:color="auto"/>
        <w:bottom w:val="none" w:sz="0" w:space="0" w:color="auto"/>
        <w:right w:val="none" w:sz="0" w:space="0" w:color="auto"/>
      </w:divBdr>
    </w:div>
    <w:div w:id="1704090533">
      <w:bodyDiv w:val="1"/>
      <w:marLeft w:val="0"/>
      <w:marRight w:val="0"/>
      <w:marTop w:val="0"/>
      <w:marBottom w:val="0"/>
      <w:divBdr>
        <w:top w:val="none" w:sz="0" w:space="0" w:color="auto"/>
        <w:left w:val="none" w:sz="0" w:space="0" w:color="auto"/>
        <w:bottom w:val="none" w:sz="0" w:space="0" w:color="auto"/>
        <w:right w:val="none" w:sz="0" w:space="0" w:color="auto"/>
      </w:divBdr>
    </w:div>
    <w:div w:id="1733893874">
      <w:bodyDiv w:val="1"/>
      <w:marLeft w:val="0"/>
      <w:marRight w:val="0"/>
      <w:marTop w:val="0"/>
      <w:marBottom w:val="0"/>
      <w:divBdr>
        <w:top w:val="none" w:sz="0" w:space="0" w:color="auto"/>
        <w:left w:val="none" w:sz="0" w:space="0" w:color="auto"/>
        <w:bottom w:val="none" w:sz="0" w:space="0" w:color="auto"/>
        <w:right w:val="none" w:sz="0" w:space="0" w:color="auto"/>
      </w:divBdr>
    </w:div>
    <w:div w:id="1781292362">
      <w:bodyDiv w:val="1"/>
      <w:marLeft w:val="0"/>
      <w:marRight w:val="0"/>
      <w:marTop w:val="0"/>
      <w:marBottom w:val="0"/>
      <w:divBdr>
        <w:top w:val="none" w:sz="0" w:space="0" w:color="auto"/>
        <w:left w:val="none" w:sz="0" w:space="0" w:color="auto"/>
        <w:bottom w:val="none" w:sz="0" w:space="0" w:color="auto"/>
        <w:right w:val="none" w:sz="0" w:space="0" w:color="auto"/>
      </w:divBdr>
    </w:div>
    <w:div w:id="1850678434">
      <w:bodyDiv w:val="1"/>
      <w:marLeft w:val="0"/>
      <w:marRight w:val="0"/>
      <w:marTop w:val="0"/>
      <w:marBottom w:val="0"/>
      <w:divBdr>
        <w:top w:val="none" w:sz="0" w:space="0" w:color="auto"/>
        <w:left w:val="none" w:sz="0" w:space="0" w:color="auto"/>
        <w:bottom w:val="none" w:sz="0" w:space="0" w:color="auto"/>
        <w:right w:val="none" w:sz="0" w:space="0" w:color="auto"/>
      </w:divBdr>
    </w:div>
    <w:div w:id="1866283363">
      <w:bodyDiv w:val="1"/>
      <w:marLeft w:val="0"/>
      <w:marRight w:val="0"/>
      <w:marTop w:val="0"/>
      <w:marBottom w:val="0"/>
      <w:divBdr>
        <w:top w:val="none" w:sz="0" w:space="0" w:color="auto"/>
        <w:left w:val="none" w:sz="0" w:space="0" w:color="auto"/>
        <w:bottom w:val="none" w:sz="0" w:space="0" w:color="auto"/>
        <w:right w:val="none" w:sz="0" w:space="0" w:color="auto"/>
      </w:divBdr>
    </w:div>
    <w:div w:id="1906260450">
      <w:bodyDiv w:val="1"/>
      <w:marLeft w:val="0"/>
      <w:marRight w:val="0"/>
      <w:marTop w:val="0"/>
      <w:marBottom w:val="0"/>
      <w:divBdr>
        <w:top w:val="none" w:sz="0" w:space="0" w:color="auto"/>
        <w:left w:val="none" w:sz="0" w:space="0" w:color="auto"/>
        <w:bottom w:val="none" w:sz="0" w:space="0" w:color="auto"/>
        <w:right w:val="none" w:sz="0" w:space="0" w:color="auto"/>
      </w:divBdr>
    </w:div>
    <w:div w:id="1954752958">
      <w:bodyDiv w:val="1"/>
      <w:marLeft w:val="0"/>
      <w:marRight w:val="0"/>
      <w:marTop w:val="0"/>
      <w:marBottom w:val="0"/>
      <w:divBdr>
        <w:top w:val="none" w:sz="0" w:space="0" w:color="auto"/>
        <w:left w:val="none" w:sz="0" w:space="0" w:color="auto"/>
        <w:bottom w:val="none" w:sz="0" w:space="0" w:color="auto"/>
        <w:right w:val="none" w:sz="0" w:space="0" w:color="auto"/>
      </w:divBdr>
    </w:div>
    <w:div w:id="1979648713">
      <w:bodyDiv w:val="1"/>
      <w:marLeft w:val="0"/>
      <w:marRight w:val="0"/>
      <w:marTop w:val="0"/>
      <w:marBottom w:val="0"/>
      <w:divBdr>
        <w:top w:val="none" w:sz="0" w:space="0" w:color="auto"/>
        <w:left w:val="none" w:sz="0" w:space="0" w:color="auto"/>
        <w:bottom w:val="none" w:sz="0" w:space="0" w:color="auto"/>
        <w:right w:val="none" w:sz="0" w:space="0" w:color="auto"/>
      </w:divBdr>
    </w:div>
    <w:div w:id="2077315217">
      <w:bodyDiv w:val="1"/>
      <w:marLeft w:val="0"/>
      <w:marRight w:val="0"/>
      <w:marTop w:val="0"/>
      <w:marBottom w:val="0"/>
      <w:divBdr>
        <w:top w:val="none" w:sz="0" w:space="0" w:color="auto"/>
        <w:left w:val="none" w:sz="0" w:space="0" w:color="auto"/>
        <w:bottom w:val="none" w:sz="0" w:space="0" w:color="auto"/>
        <w:right w:val="none" w:sz="0" w:space="0" w:color="auto"/>
      </w:divBdr>
    </w:div>
    <w:div w:id="2127505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599</TotalTime>
  <Pages>24</Pages>
  <Words>4083</Words>
  <Characters>23279</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cp:revision>
  <dcterms:created xsi:type="dcterms:W3CDTF">2025-08-02T18:45:00Z</dcterms:created>
  <dcterms:modified xsi:type="dcterms:W3CDTF">2025-09-30T23:02:00Z</dcterms:modified>
</cp:coreProperties>
</file>